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12C02C9" w14:textId="4D4A59C9" w:rsidR="008A2C71" w:rsidRPr="00CE0424" w:rsidRDefault="008A2C71" w:rsidP="008A2C71">
      <w:pPr>
        <w:pStyle w:val="3GPPHeader"/>
        <w:spacing w:after="60"/>
        <w:rPr>
          <w:sz w:val="32"/>
          <w:szCs w:val="32"/>
          <w:highlight w:val="yellow"/>
        </w:rPr>
      </w:pPr>
      <w:bookmarkStart w:id="0" w:name="_Hlk52187106"/>
      <w:r w:rsidRPr="00CE0424">
        <w:t>3GPP TSG-RAN WG</w:t>
      </w:r>
      <w:r>
        <w:t>1</w:t>
      </w:r>
      <w:r w:rsidRPr="00CE0424">
        <w:t xml:space="preserve"> </w:t>
      </w:r>
      <w:r>
        <w:t xml:space="preserve">Meeting </w:t>
      </w:r>
      <w:r w:rsidRPr="00CE0424">
        <w:t>#</w:t>
      </w:r>
      <w:r>
        <w:t>10</w:t>
      </w:r>
      <w:r w:rsidR="00564B8A">
        <w:t>3</w:t>
      </w:r>
      <w:r>
        <w:t>-e</w:t>
      </w:r>
      <w:r w:rsidRPr="00CE0424">
        <w:tab/>
      </w:r>
      <w:r w:rsidRPr="004F69A1">
        <w:rPr>
          <w:sz w:val="32"/>
          <w:szCs w:val="32"/>
        </w:rPr>
        <w:t>R1-</w:t>
      </w:r>
      <w:r w:rsidR="00531C9E" w:rsidRPr="004F69A1">
        <w:rPr>
          <w:sz w:val="32"/>
          <w:szCs w:val="32"/>
        </w:rPr>
        <w:t>2007982</w:t>
      </w:r>
    </w:p>
    <w:p w14:paraId="5073AAFE" w14:textId="5C44D357" w:rsidR="008A2C71" w:rsidRPr="00CE0424" w:rsidRDefault="008A2C71" w:rsidP="008A2C71">
      <w:pPr>
        <w:pStyle w:val="3GPPHeader"/>
      </w:pPr>
      <w:r>
        <w:t>e-Meeting</w:t>
      </w:r>
      <w:r w:rsidRPr="009027D4">
        <w:t xml:space="preserve">, </w:t>
      </w:r>
      <w:r w:rsidR="00564B8A">
        <w:rPr>
          <w:bCs/>
          <w:lang w:val="en-GB"/>
        </w:rPr>
        <w:t>26</w:t>
      </w:r>
      <w:r w:rsidR="00834870" w:rsidRPr="00834870">
        <w:rPr>
          <w:bCs/>
          <w:vertAlign w:val="superscript"/>
          <w:lang w:val="en-GB"/>
        </w:rPr>
        <w:t>th</w:t>
      </w:r>
      <w:r w:rsidR="00834870" w:rsidRPr="00834870">
        <w:rPr>
          <w:bCs/>
          <w:lang w:val="en-GB"/>
        </w:rPr>
        <w:t xml:space="preserve"> </w:t>
      </w:r>
      <w:r w:rsidR="00564B8A">
        <w:rPr>
          <w:bCs/>
          <w:lang w:val="en-GB"/>
        </w:rPr>
        <w:t xml:space="preserve">October </w:t>
      </w:r>
      <w:r w:rsidR="00834870" w:rsidRPr="00834870">
        <w:rPr>
          <w:bCs/>
          <w:lang w:val="en-GB"/>
        </w:rPr>
        <w:t xml:space="preserve">– </w:t>
      </w:r>
      <w:r w:rsidR="00564B8A">
        <w:rPr>
          <w:bCs/>
          <w:lang w:val="en-GB"/>
        </w:rPr>
        <w:t>13</w:t>
      </w:r>
      <w:r w:rsidR="00834870" w:rsidRPr="00834870">
        <w:rPr>
          <w:bCs/>
          <w:vertAlign w:val="superscript"/>
          <w:lang w:val="en-GB"/>
        </w:rPr>
        <w:t>th</w:t>
      </w:r>
      <w:r w:rsidR="00564B8A">
        <w:t xml:space="preserve"> </w:t>
      </w:r>
      <w:proofErr w:type="gramStart"/>
      <w:r w:rsidR="00564B8A">
        <w:t>November,</w:t>
      </w:r>
      <w:proofErr w:type="gramEnd"/>
      <w:r>
        <w:t xml:space="preserve"> </w:t>
      </w:r>
      <w:r w:rsidRPr="009027D4">
        <w:t>2020</w:t>
      </w:r>
    </w:p>
    <w:bookmarkEnd w:id="0"/>
    <w:p w14:paraId="6EFAF916" w14:textId="2ADBDA5F" w:rsidR="008A2C71" w:rsidRPr="004165CE" w:rsidRDefault="008A2C71" w:rsidP="008A2C71">
      <w:pPr>
        <w:pStyle w:val="3GPPHeader"/>
        <w:rPr>
          <w:sz w:val="22"/>
        </w:rPr>
      </w:pPr>
      <w:r w:rsidRPr="004165CE">
        <w:rPr>
          <w:sz w:val="22"/>
        </w:rPr>
        <w:t>Agenda Item:</w:t>
      </w:r>
      <w:r w:rsidRPr="004165CE">
        <w:rPr>
          <w:sz w:val="22"/>
        </w:rPr>
        <w:tab/>
        <w:t>8.</w:t>
      </w:r>
      <w:r w:rsidR="00802930">
        <w:rPr>
          <w:sz w:val="22"/>
        </w:rPr>
        <w:t>2</w:t>
      </w:r>
      <w:r w:rsidRPr="004165CE">
        <w:rPr>
          <w:sz w:val="22"/>
        </w:rPr>
        <w:t>.1</w:t>
      </w:r>
    </w:p>
    <w:p w14:paraId="2D32B49C" w14:textId="77777777" w:rsidR="008A2C71" w:rsidRPr="00CE0424" w:rsidRDefault="008A2C71" w:rsidP="008A2C71">
      <w:pPr>
        <w:pStyle w:val="3GPPHeader"/>
        <w:rPr>
          <w:sz w:val="22"/>
        </w:rPr>
      </w:pPr>
      <w:r>
        <w:rPr>
          <w:sz w:val="22"/>
        </w:rPr>
        <w:t>Source:</w:t>
      </w:r>
      <w:r w:rsidRPr="00CE0424">
        <w:rPr>
          <w:sz w:val="22"/>
        </w:rPr>
        <w:tab/>
        <w:t>Ericsson</w:t>
      </w:r>
    </w:p>
    <w:p w14:paraId="0D478E2E" w14:textId="0E5D4729" w:rsidR="008A2C71" w:rsidRPr="00CE0424" w:rsidRDefault="008A2C71" w:rsidP="008A2C71">
      <w:pPr>
        <w:pStyle w:val="3GPPHeader"/>
        <w:rPr>
          <w:sz w:val="22"/>
        </w:rPr>
      </w:pPr>
      <w:r>
        <w:rPr>
          <w:sz w:val="22"/>
        </w:rPr>
        <w:t>Title:</w:t>
      </w:r>
      <w:r w:rsidRPr="00CE0424">
        <w:rPr>
          <w:sz w:val="22"/>
        </w:rPr>
        <w:tab/>
      </w:r>
      <w:bookmarkStart w:id="1" w:name="_Hlk53664162"/>
      <w:r w:rsidRPr="00F12222">
        <w:rPr>
          <w:sz w:val="22"/>
        </w:rPr>
        <w:t>On NR operations in 52.6 to 71 GHz</w:t>
      </w:r>
      <w:bookmarkEnd w:id="1"/>
    </w:p>
    <w:p w14:paraId="0D263575" w14:textId="6712FFA6" w:rsidR="008A2C71" w:rsidRPr="00CE0424" w:rsidRDefault="008A2C71" w:rsidP="008A2C71">
      <w:pPr>
        <w:pStyle w:val="3GPPHeader"/>
        <w:rPr>
          <w:sz w:val="22"/>
        </w:rPr>
      </w:pPr>
      <w:r w:rsidRPr="00CE0424">
        <w:rPr>
          <w:sz w:val="22"/>
        </w:rPr>
        <w:t>Document for:</w:t>
      </w:r>
      <w:r w:rsidRPr="00CE0424">
        <w:rPr>
          <w:sz w:val="22"/>
        </w:rPr>
        <w:tab/>
      </w:r>
      <w:r w:rsidRPr="009027D4">
        <w:rPr>
          <w:sz w:val="22"/>
        </w:rPr>
        <w:t>Discussion, Decision</w:t>
      </w:r>
    </w:p>
    <w:p w14:paraId="5EE67EB6" w14:textId="26547DCE" w:rsidR="00553A2F" w:rsidRDefault="00553A2F" w:rsidP="00553A2F">
      <w:pPr>
        <w:pStyle w:val="Heading1"/>
      </w:pPr>
      <w:bookmarkStart w:id="2" w:name="_Toc53775882"/>
      <w:r>
        <w:t>Table of Contents</w:t>
      </w:r>
      <w:bookmarkEnd w:id="2"/>
    </w:p>
    <w:p w14:paraId="318D857D" w14:textId="4A31E688" w:rsidR="00BE31F7" w:rsidRDefault="00553A2F">
      <w:pPr>
        <w:pStyle w:val="TOC1"/>
        <w:rPr>
          <w:rFonts w:asciiTheme="minorHAnsi" w:eastAsiaTheme="minorEastAsia" w:hAnsiTheme="minorHAnsi" w:cstheme="minorBidi"/>
          <w:szCs w:val="22"/>
          <w:lang w:val="en-US" w:eastAsia="en-US"/>
        </w:rPr>
      </w:pPr>
      <w:r>
        <w:rPr>
          <w:b/>
          <w:sz w:val="20"/>
        </w:rPr>
        <w:fldChar w:fldCharType="begin"/>
      </w:r>
      <w:r>
        <w:rPr>
          <w:b/>
          <w:sz w:val="20"/>
        </w:rPr>
        <w:instrText xml:space="preserve"> TOC \o "1-4" \u </w:instrText>
      </w:r>
      <w:r>
        <w:rPr>
          <w:b/>
          <w:sz w:val="20"/>
        </w:rPr>
        <w:fldChar w:fldCharType="separate"/>
      </w:r>
      <w:r w:rsidR="00BE31F7">
        <w:t>Table of Contents</w:t>
      </w:r>
      <w:r w:rsidR="00BE31F7">
        <w:tab/>
      </w:r>
      <w:r w:rsidR="00BE31F7">
        <w:fldChar w:fldCharType="begin"/>
      </w:r>
      <w:r w:rsidR="00BE31F7">
        <w:instrText xml:space="preserve"> PAGEREF _Toc53775882 \h </w:instrText>
      </w:r>
      <w:r w:rsidR="00BE31F7">
        <w:fldChar w:fldCharType="separate"/>
      </w:r>
      <w:r w:rsidR="00BE31F7">
        <w:t>1</w:t>
      </w:r>
      <w:r w:rsidR="00BE31F7">
        <w:fldChar w:fldCharType="end"/>
      </w:r>
    </w:p>
    <w:p w14:paraId="1D46E581" w14:textId="447BEAC0" w:rsidR="00BE31F7" w:rsidRDefault="00BE31F7">
      <w:pPr>
        <w:pStyle w:val="TOC1"/>
        <w:rPr>
          <w:rFonts w:asciiTheme="minorHAnsi" w:eastAsiaTheme="minorEastAsia" w:hAnsiTheme="minorHAnsi" w:cstheme="minorBidi"/>
          <w:szCs w:val="22"/>
          <w:lang w:val="en-US" w:eastAsia="en-US"/>
        </w:rPr>
      </w:pPr>
      <w:r>
        <w:t>1</w:t>
      </w:r>
      <w:r>
        <w:rPr>
          <w:rFonts w:asciiTheme="minorHAnsi" w:eastAsiaTheme="minorEastAsia" w:hAnsiTheme="minorHAnsi" w:cstheme="minorBidi"/>
          <w:szCs w:val="22"/>
          <w:lang w:val="en-US" w:eastAsia="en-US"/>
        </w:rPr>
        <w:tab/>
      </w:r>
      <w:r>
        <w:t>Introduction</w:t>
      </w:r>
      <w:r>
        <w:tab/>
      </w:r>
      <w:r>
        <w:fldChar w:fldCharType="begin"/>
      </w:r>
      <w:r>
        <w:instrText xml:space="preserve"> PAGEREF _Toc53775883 \h </w:instrText>
      </w:r>
      <w:r>
        <w:fldChar w:fldCharType="separate"/>
      </w:r>
      <w:r>
        <w:t>2</w:t>
      </w:r>
      <w:r>
        <w:fldChar w:fldCharType="end"/>
      </w:r>
    </w:p>
    <w:p w14:paraId="43DF3837" w14:textId="688B3C69" w:rsidR="00BE31F7" w:rsidRDefault="00BE31F7">
      <w:pPr>
        <w:pStyle w:val="TOC1"/>
        <w:rPr>
          <w:rFonts w:asciiTheme="minorHAnsi" w:eastAsiaTheme="minorEastAsia" w:hAnsiTheme="minorHAnsi" w:cstheme="minorBidi"/>
          <w:szCs w:val="22"/>
          <w:lang w:val="en-US" w:eastAsia="en-US"/>
        </w:rPr>
      </w:pPr>
      <w:r>
        <w:t>2</w:t>
      </w:r>
      <w:r>
        <w:rPr>
          <w:rFonts w:asciiTheme="minorHAnsi" w:eastAsiaTheme="minorEastAsia" w:hAnsiTheme="minorHAnsi" w:cstheme="minorBidi"/>
          <w:szCs w:val="22"/>
          <w:lang w:val="en-US" w:eastAsia="en-US"/>
        </w:rPr>
        <w:tab/>
      </w:r>
      <w:r>
        <w:t>Channel bandwidth selection and channelization principle</w:t>
      </w:r>
      <w:r>
        <w:tab/>
      </w:r>
      <w:r>
        <w:fldChar w:fldCharType="begin"/>
      </w:r>
      <w:r>
        <w:instrText xml:space="preserve"> PAGEREF _Toc53775884 \h </w:instrText>
      </w:r>
      <w:r>
        <w:fldChar w:fldCharType="separate"/>
      </w:r>
      <w:r>
        <w:t>2</w:t>
      </w:r>
      <w:r>
        <w:fldChar w:fldCharType="end"/>
      </w:r>
    </w:p>
    <w:p w14:paraId="657C7237" w14:textId="1539A39E" w:rsidR="00BE31F7" w:rsidRDefault="00BE31F7">
      <w:pPr>
        <w:pStyle w:val="TOC2"/>
        <w:rPr>
          <w:rFonts w:asciiTheme="minorHAnsi" w:eastAsiaTheme="minorEastAsia" w:hAnsiTheme="minorHAnsi" w:cstheme="minorBidi"/>
          <w:sz w:val="22"/>
          <w:szCs w:val="22"/>
          <w:lang w:val="en-US" w:eastAsia="en-US"/>
        </w:rPr>
      </w:pPr>
      <w:r>
        <w:t>2.1</w:t>
      </w:r>
      <w:r>
        <w:rPr>
          <w:rFonts w:asciiTheme="minorHAnsi" w:eastAsiaTheme="minorEastAsia" w:hAnsiTheme="minorHAnsi" w:cstheme="minorBidi"/>
          <w:sz w:val="22"/>
          <w:szCs w:val="22"/>
          <w:lang w:val="en-US" w:eastAsia="en-US"/>
        </w:rPr>
        <w:tab/>
      </w:r>
      <w:r>
        <w:t>NR channelization principle</w:t>
      </w:r>
      <w:r>
        <w:tab/>
      </w:r>
      <w:r>
        <w:fldChar w:fldCharType="begin"/>
      </w:r>
      <w:r>
        <w:instrText xml:space="preserve"> PAGEREF _Toc53775885 \h </w:instrText>
      </w:r>
      <w:r>
        <w:fldChar w:fldCharType="separate"/>
      </w:r>
      <w:r>
        <w:t>2</w:t>
      </w:r>
      <w:r>
        <w:fldChar w:fldCharType="end"/>
      </w:r>
    </w:p>
    <w:p w14:paraId="723698D2" w14:textId="6E18D216" w:rsidR="00BE31F7" w:rsidRDefault="00BE31F7">
      <w:pPr>
        <w:pStyle w:val="TOC2"/>
        <w:rPr>
          <w:rFonts w:asciiTheme="minorHAnsi" w:eastAsiaTheme="minorEastAsia" w:hAnsiTheme="minorHAnsi" w:cstheme="minorBidi"/>
          <w:sz w:val="22"/>
          <w:szCs w:val="22"/>
          <w:lang w:val="en-US" w:eastAsia="en-US"/>
        </w:rPr>
      </w:pPr>
      <w:r>
        <w:t>2.2</w:t>
      </w:r>
      <w:r>
        <w:rPr>
          <w:rFonts w:asciiTheme="minorHAnsi" w:eastAsiaTheme="minorEastAsia" w:hAnsiTheme="minorHAnsi" w:cstheme="minorBidi"/>
          <w:sz w:val="22"/>
          <w:szCs w:val="22"/>
          <w:lang w:val="en-US" w:eastAsia="en-US"/>
        </w:rPr>
        <w:tab/>
      </w:r>
      <w:r>
        <w:t>Channel bandwidth selection</w:t>
      </w:r>
      <w:r>
        <w:tab/>
      </w:r>
      <w:r>
        <w:fldChar w:fldCharType="begin"/>
      </w:r>
      <w:r>
        <w:instrText xml:space="preserve"> PAGEREF _Toc53775886 \h </w:instrText>
      </w:r>
      <w:r>
        <w:fldChar w:fldCharType="separate"/>
      </w:r>
      <w:r>
        <w:t>7</w:t>
      </w:r>
      <w:r>
        <w:fldChar w:fldCharType="end"/>
      </w:r>
    </w:p>
    <w:p w14:paraId="33919F42" w14:textId="10920E95" w:rsidR="00BE31F7" w:rsidRDefault="00BE31F7">
      <w:pPr>
        <w:pStyle w:val="TOC1"/>
        <w:rPr>
          <w:rFonts w:asciiTheme="minorHAnsi" w:eastAsiaTheme="minorEastAsia" w:hAnsiTheme="minorHAnsi" w:cstheme="minorBidi"/>
          <w:szCs w:val="22"/>
          <w:lang w:val="en-US" w:eastAsia="en-US"/>
        </w:rPr>
      </w:pPr>
      <w:r>
        <w:t>3</w:t>
      </w:r>
      <w:r>
        <w:rPr>
          <w:rFonts w:asciiTheme="minorHAnsi" w:eastAsiaTheme="minorEastAsia" w:hAnsiTheme="minorHAnsi" w:cstheme="minorBidi"/>
          <w:szCs w:val="22"/>
          <w:lang w:val="en-US" w:eastAsia="en-US"/>
        </w:rPr>
        <w:tab/>
      </w:r>
      <w:r>
        <w:t>Sub-carrier spacing selection</w:t>
      </w:r>
      <w:r>
        <w:tab/>
      </w:r>
      <w:r>
        <w:fldChar w:fldCharType="begin"/>
      </w:r>
      <w:r>
        <w:instrText xml:space="preserve"> PAGEREF _Toc53775887 \h </w:instrText>
      </w:r>
      <w:r>
        <w:fldChar w:fldCharType="separate"/>
      </w:r>
      <w:r>
        <w:t>9</w:t>
      </w:r>
      <w:r>
        <w:fldChar w:fldCharType="end"/>
      </w:r>
    </w:p>
    <w:p w14:paraId="74978143" w14:textId="70E53A84" w:rsidR="00BE31F7" w:rsidRDefault="00BE31F7">
      <w:pPr>
        <w:pStyle w:val="TOC2"/>
        <w:rPr>
          <w:rFonts w:asciiTheme="minorHAnsi" w:eastAsiaTheme="minorEastAsia" w:hAnsiTheme="minorHAnsi" w:cstheme="minorBidi"/>
          <w:sz w:val="22"/>
          <w:szCs w:val="22"/>
          <w:lang w:val="en-US" w:eastAsia="en-US"/>
        </w:rPr>
      </w:pPr>
      <w:r>
        <w:t>3.1</w:t>
      </w:r>
      <w:r>
        <w:rPr>
          <w:rFonts w:asciiTheme="minorHAnsi" w:eastAsiaTheme="minorEastAsia" w:hAnsiTheme="minorHAnsi" w:cstheme="minorBidi"/>
          <w:sz w:val="22"/>
          <w:szCs w:val="22"/>
          <w:lang w:val="en-US" w:eastAsia="en-US"/>
        </w:rPr>
        <w:tab/>
      </w:r>
      <w:r>
        <w:t>Coverage considerations</w:t>
      </w:r>
      <w:r>
        <w:tab/>
      </w:r>
      <w:r>
        <w:fldChar w:fldCharType="begin"/>
      </w:r>
      <w:r>
        <w:instrText xml:space="preserve"> PAGEREF _Toc53775888 \h </w:instrText>
      </w:r>
      <w:r>
        <w:fldChar w:fldCharType="separate"/>
      </w:r>
      <w:r>
        <w:t>9</w:t>
      </w:r>
      <w:r>
        <w:fldChar w:fldCharType="end"/>
      </w:r>
    </w:p>
    <w:p w14:paraId="7346E2D2" w14:textId="7287FAAD" w:rsidR="00BE31F7" w:rsidRDefault="00BE31F7">
      <w:pPr>
        <w:pStyle w:val="TOC3"/>
        <w:rPr>
          <w:rFonts w:asciiTheme="minorHAnsi" w:eastAsiaTheme="minorEastAsia" w:hAnsiTheme="minorHAnsi" w:cstheme="minorBidi"/>
          <w:sz w:val="22"/>
          <w:szCs w:val="22"/>
          <w:lang w:val="en-US" w:eastAsia="en-US"/>
        </w:rPr>
      </w:pPr>
      <w:r>
        <w:t>3.1.1</w:t>
      </w:r>
      <w:r>
        <w:rPr>
          <w:rFonts w:asciiTheme="minorHAnsi" w:eastAsiaTheme="minorEastAsia" w:hAnsiTheme="minorHAnsi" w:cstheme="minorBidi"/>
          <w:sz w:val="22"/>
          <w:szCs w:val="22"/>
          <w:lang w:val="en-US" w:eastAsia="en-US"/>
        </w:rPr>
        <w:tab/>
      </w:r>
      <w:r>
        <w:t>Deployments for Ensuring Coverage</w:t>
      </w:r>
      <w:r>
        <w:tab/>
      </w:r>
      <w:r>
        <w:fldChar w:fldCharType="begin"/>
      </w:r>
      <w:r>
        <w:instrText xml:space="preserve"> PAGEREF _Toc53775889 \h </w:instrText>
      </w:r>
      <w:r>
        <w:fldChar w:fldCharType="separate"/>
      </w:r>
      <w:r>
        <w:t>9</w:t>
      </w:r>
      <w:r>
        <w:fldChar w:fldCharType="end"/>
      </w:r>
    </w:p>
    <w:p w14:paraId="01787952" w14:textId="1FE0A093" w:rsidR="00BE31F7" w:rsidRDefault="00BE31F7">
      <w:pPr>
        <w:pStyle w:val="TOC3"/>
        <w:rPr>
          <w:rFonts w:asciiTheme="minorHAnsi" w:eastAsiaTheme="minorEastAsia" w:hAnsiTheme="minorHAnsi" w:cstheme="minorBidi"/>
          <w:sz w:val="22"/>
          <w:szCs w:val="22"/>
          <w:lang w:val="en-US" w:eastAsia="en-US"/>
        </w:rPr>
      </w:pPr>
      <w:r>
        <w:t>3.1.2</w:t>
      </w:r>
      <w:r>
        <w:rPr>
          <w:rFonts w:asciiTheme="minorHAnsi" w:eastAsiaTheme="minorEastAsia" w:hAnsiTheme="minorHAnsi" w:cstheme="minorBidi"/>
          <w:sz w:val="22"/>
          <w:szCs w:val="22"/>
          <w:lang w:val="en-US" w:eastAsia="en-US"/>
        </w:rPr>
        <w:tab/>
      </w:r>
      <w:r>
        <w:t>Coverage as a function of SCS</w:t>
      </w:r>
      <w:r>
        <w:tab/>
      </w:r>
      <w:r>
        <w:fldChar w:fldCharType="begin"/>
      </w:r>
      <w:r>
        <w:instrText xml:space="preserve"> PAGEREF _Toc53775890 \h </w:instrText>
      </w:r>
      <w:r>
        <w:fldChar w:fldCharType="separate"/>
      </w:r>
      <w:r>
        <w:t>10</w:t>
      </w:r>
      <w:r>
        <w:fldChar w:fldCharType="end"/>
      </w:r>
    </w:p>
    <w:p w14:paraId="05D2E8FA" w14:textId="323237A5" w:rsidR="00BE31F7" w:rsidRDefault="00BE31F7">
      <w:pPr>
        <w:pStyle w:val="TOC2"/>
        <w:rPr>
          <w:rFonts w:asciiTheme="minorHAnsi" w:eastAsiaTheme="minorEastAsia" w:hAnsiTheme="minorHAnsi" w:cstheme="minorBidi"/>
          <w:sz w:val="22"/>
          <w:szCs w:val="22"/>
          <w:lang w:val="en-US" w:eastAsia="en-US"/>
        </w:rPr>
      </w:pPr>
      <w:r>
        <w:t>3.2</w:t>
      </w:r>
      <w:r>
        <w:rPr>
          <w:rFonts w:asciiTheme="minorHAnsi" w:eastAsiaTheme="minorEastAsia" w:hAnsiTheme="minorHAnsi" w:cstheme="minorBidi"/>
          <w:sz w:val="22"/>
          <w:szCs w:val="22"/>
          <w:lang w:val="en-US" w:eastAsia="en-US"/>
        </w:rPr>
        <w:tab/>
      </w:r>
      <w:r>
        <w:t>Delay spread issues</w:t>
      </w:r>
      <w:r>
        <w:tab/>
      </w:r>
      <w:r>
        <w:fldChar w:fldCharType="begin"/>
      </w:r>
      <w:r>
        <w:instrText xml:space="preserve"> PAGEREF _Toc53775891 \h </w:instrText>
      </w:r>
      <w:r>
        <w:fldChar w:fldCharType="separate"/>
      </w:r>
      <w:r>
        <w:t>12</w:t>
      </w:r>
      <w:r>
        <w:fldChar w:fldCharType="end"/>
      </w:r>
    </w:p>
    <w:p w14:paraId="07407C6B" w14:textId="28039251" w:rsidR="00BE31F7" w:rsidRDefault="00BE31F7">
      <w:pPr>
        <w:pStyle w:val="TOC2"/>
        <w:rPr>
          <w:rFonts w:asciiTheme="minorHAnsi" w:eastAsiaTheme="minorEastAsia" w:hAnsiTheme="minorHAnsi" w:cstheme="minorBidi"/>
          <w:sz w:val="22"/>
          <w:szCs w:val="22"/>
          <w:lang w:val="en-US" w:eastAsia="en-US"/>
        </w:rPr>
      </w:pPr>
      <w:r>
        <w:t>3.3</w:t>
      </w:r>
      <w:r>
        <w:rPr>
          <w:rFonts w:asciiTheme="minorHAnsi" w:eastAsiaTheme="minorEastAsia" w:hAnsiTheme="minorHAnsi" w:cstheme="minorBidi"/>
          <w:sz w:val="22"/>
          <w:szCs w:val="22"/>
          <w:lang w:val="en-US" w:eastAsia="en-US"/>
        </w:rPr>
        <w:tab/>
      </w:r>
      <w:r>
        <w:t>Phase noise issues</w:t>
      </w:r>
      <w:r>
        <w:tab/>
      </w:r>
      <w:r>
        <w:fldChar w:fldCharType="begin"/>
      </w:r>
      <w:r>
        <w:instrText xml:space="preserve"> PAGEREF _Toc53775892 \h </w:instrText>
      </w:r>
      <w:r>
        <w:fldChar w:fldCharType="separate"/>
      </w:r>
      <w:r>
        <w:t>15</w:t>
      </w:r>
      <w:r>
        <w:fldChar w:fldCharType="end"/>
      </w:r>
    </w:p>
    <w:p w14:paraId="4FF1B952" w14:textId="6B2EFC50" w:rsidR="00BE31F7" w:rsidRDefault="00BE31F7">
      <w:pPr>
        <w:pStyle w:val="TOC3"/>
        <w:rPr>
          <w:rFonts w:asciiTheme="minorHAnsi" w:eastAsiaTheme="minorEastAsia" w:hAnsiTheme="minorHAnsi" w:cstheme="minorBidi"/>
          <w:sz w:val="22"/>
          <w:szCs w:val="22"/>
          <w:lang w:val="en-US" w:eastAsia="en-US"/>
        </w:rPr>
      </w:pPr>
      <w:r>
        <w:t>3.3.1</w:t>
      </w:r>
      <w:r>
        <w:rPr>
          <w:rFonts w:asciiTheme="minorHAnsi" w:eastAsiaTheme="minorEastAsia" w:hAnsiTheme="minorHAnsi" w:cstheme="minorBidi"/>
          <w:sz w:val="22"/>
          <w:szCs w:val="22"/>
          <w:lang w:val="en-US" w:eastAsia="en-US"/>
        </w:rPr>
        <w:tab/>
      </w:r>
      <w:r>
        <w:t>Impact of different phase noise models</w:t>
      </w:r>
      <w:r>
        <w:tab/>
      </w:r>
      <w:r>
        <w:fldChar w:fldCharType="begin"/>
      </w:r>
      <w:r>
        <w:instrText xml:space="preserve"> PAGEREF _Toc53775893 \h </w:instrText>
      </w:r>
      <w:r>
        <w:fldChar w:fldCharType="separate"/>
      </w:r>
      <w:r>
        <w:t>15</w:t>
      </w:r>
      <w:r>
        <w:fldChar w:fldCharType="end"/>
      </w:r>
    </w:p>
    <w:p w14:paraId="075F4BF3" w14:textId="0D3B6588" w:rsidR="00BE31F7" w:rsidRDefault="00BE31F7">
      <w:pPr>
        <w:pStyle w:val="TOC3"/>
        <w:rPr>
          <w:rFonts w:asciiTheme="minorHAnsi" w:eastAsiaTheme="minorEastAsia" w:hAnsiTheme="minorHAnsi" w:cstheme="minorBidi"/>
          <w:sz w:val="22"/>
          <w:szCs w:val="22"/>
          <w:lang w:val="en-US" w:eastAsia="en-US"/>
        </w:rPr>
      </w:pPr>
      <w:r>
        <w:t>3.3.2</w:t>
      </w:r>
      <w:r>
        <w:rPr>
          <w:rFonts w:asciiTheme="minorHAnsi" w:eastAsiaTheme="minorEastAsia" w:hAnsiTheme="minorHAnsi" w:cstheme="minorBidi"/>
          <w:sz w:val="22"/>
          <w:szCs w:val="22"/>
          <w:lang w:val="en-US" w:eastAsia="en-US"/>
        </w:rPr>
        <w:tab/>
      </w:r>
      <w:r>
        <w:t>ICI phase noise compensation for OFDM</w:t>
      </w:r>
      <w:r>
        <w:tab/>
      </w:r>
      <w:r>
        <w:fldChar w:fldCharType="begin"/>
      </w:r>
      <w:r>
        <w:instrText xml:space="preserve"> PAGEREF _Toc53775894 \h </w:instrText>
      </w:r>
      <w:r>
        <w:fldChar w:fldCharType="separate"/>
      </w:r>
      <w:r>
        <w:t>19</w:t>
      </w:r>
      <w:r>
        <w:fldChar w:fldCharType="end"/>
      </w:r>
    </w:p>
    <w:p w14:paraId="6DF16811" w14:textId="3E76C79B" w:rsidR="00BE31F7" w:rsidRDefault="00BE31F7">
      <w:pPr>
        <w:pStyle w:val="TOC3"/>
        <w:rPr>
          <w:rFonts w:asciiTheme="minorHAnsi" w:eastAsiaTheme="minorEastAsia" w:hAnsiTheme="minorHAnsi" w:cstheme="minorBidi"/>
          <w:sz w:val="22"/>
          <w:szCs w:val="22"/>
          <w:lang w:val="en-US" w:eastAsia="en-US"/>
        </w:rPr>
      </w:pPr>
      <w:r>
        <w:t>3.3.3</w:t>
      </w:r>
      <w:r>
        <w:rPr>
          <w:rFonts w:asciiTheme="minorHAnsi" w:eastAsiaTheme="minorEastAsia" w:hAnsiTheme="minorHAnsi" w:cstheme="minorBidi"/>
          <w:sz w:val="22"/>
          <w:szCs w:val="22"/>
          <w:lang w:val="en-US" w:eastAsia="en-US"/>
        </w:rPr>
        <w:tab/>
      </w:r>
      <w:r>
        <w:t>Summary of link level evaluation results</w:t>
      </w:r>
      <w:r>
        <w:tab/>
      </w:r>
      <w:r>
        <w:fldChar w:fldCharType="begin"/>
      </w:r>
      <w:r>
        <w:instrText xml:space="preserve"> PAGEREF _Toc53775895 \h </w:instrText>
      </w:r>
      <w:r>
        <w:fldChar w:fldCharType="separate"/>
      </w:r>
      <w:r>
        <w:t>21</w:t>
      </w:r>
      <w:r>
        <w:fldChar w:fldCharType="end"/>
      </w:r>
    </w:p>
    <w:p w14:paraId="61323641" w14:textId="1EC7E01E" w:rsidR="00BE31F7" w:rsidRDefault="00BE31F7">
      <w:pPr>
        <w:pStyle w:val="TOC4"/>
        <w:rPr>
          <w:rFonts w:asciiTheme="minorHAnsi" w:eastAsiaTheme="minorEastAsia" w:hAnsiTheme="minorHAnsi" w:cstheme="minorBidi"/>
          <w:sz w:val="22"/>
          <w:szCs w:val="22"/>
          <w:lang w:val="en-US" w:eastAsia="en-US"/>
        </w:rPr>
      </w:pPr>
      <w:r>
        <w:t>3.3.3.1</w:t>
      </w:r>
      <w:r>
        <w:rPr>
          <w:rFonts w:asciiTheme="minorHAnsi" w:eastAsiaTheme="minorEastAsia" w:hAnsiTheme="minorHAnsi" w:cstheme="minorBidi"/>
          <w:sz w:val="22"/>
          <w:szCs w:val="22"/>
          <w:lang w:val="en-US" w:eastAsia="en-US"/>
        </w:rPr>
        <w:tab/>
      </w:r>
      <w:r>
        <w:t>CP-OFDM with NCP</w:t>
      </w:r>
      <w:r>
        <w:tab/>
      </w:r>
      <w:r>
        <w:fldChar w:fldCharType="begin"/>
      </w:r>
      <w:r>
        <w:instrText xml:space="preserve"> PAGEREF _Toc53775896 \h </w:instrText>
      </w:r>
      <w:r>
        <w:fldChar w:fldCharType="separate"/>
      </w:r>
      <w:r>
        <w:t>22</w:t>
      </w:r>
      <w:r>
        <w:fldChar w:fldCharType="end"/>
      </w:r>
    </w:p>
    <w:p w14:paraId="5E5852F9" w14:textId="12CA3632" w:rsidR="00BE31F7" w:rsidRDefault="00BE31F7">
      <w:pPr>
        <w:pStyle w:val="TOC4"/>
        <w:rPr>
          <w:rFonts w:asciiTheme="minorHAnsi" w:eastAsiaTheme="minorEastAsia" w:hAnsiTheme="minorHAnsi" w:cstheme="minorBidi"/>
          <w:sz w:val="22"/>
          <w:szCs w:val="22"/>
          <w:lang w:val="en-US" w:eastAsia="en-US"/>
        </w:rPr>
      </w:pPr>
      <w:r>
        <w:t>3.3.3.2</w:t>
      </w:r>
      <w:r>
        <w:rPr>
          <w:rFonts w:asciiTheme="minorHAnsi" w:eastAsiaTheme="minorEastAsia" w:hAnsiTheme="minorHAnsi" w:cstheme="minorBidi"/>
          <w:sz w:val="22"/>
          <w:szCs w:val="22"/>
          <w:lang w:val="en-US" w:eastAsia="en-US"/>
        </w:rPr>
        <w:tab/>
      </w:r>
      <w:r>
        <w:t>CP-OFDM with ECP</w:t>
      </w:r>
      <w:r>
        <w:tab/>
      </w:r>
      <w:r>
        <w:fldChar w:fldCharType="begin"/>
      </w:r>
      <w:r>
        <w:instrText xml:space="preserve"> PAGEREF _Toc53775897 \h </w:instrText>
      </w:r>
      <w:r>
        <w:fldChar w:fldCharType="separate"/>
      </w:r>
      <w:r>
        <w:t>22</w:t>
      </w:r>
      <w:r>
        <w:fldChar w:fldCharType="end"/>
      </w:r>
    </w:p>
    <w:p w14:paraId="7D7401DB" w14:textId="0CCFBECD" w:rsidR="00BE31F7" w:rsidRDefault="00BE31F7">
      <w:pPr>
        <w:pStyle w:val="TOC4"/>
        <w:rPr>
          <w:rFonts w:asciiTheme="minorHAnsi" w:eastAsiaTheme="minorEastAsia" w:hAnsiTheme="minorHAnsi" w:cstheme="minorBidi"/>
          <w:sz w:val="22"/>
          <w:szCs w:val="22"/>
          <w:lang w:val="en-US" w:eastAsia="en-US"/>
        </w:rPr>
      </w:pPr>
      <w:r>
        <w:t>3.3.3.3</w:t>
      </w:r>
      <w:r>
        <w:rPr>
          <w:rFonts w:asciiTheme="minorHAnsi" w:eastAsiaTheme="minorEastAsia" w:hAnsiTheme="minorHAnsi" w:cstheme="minorBidi"/>
          <w:sz w:val="22"/>
          <w:szCs w:val="22"/>
          <w:lang w:val="en-US" w:eastAsia="en-US"/>
        </w:rPr>
        <w:tab/>
      </w:r>
      <w:r>
        <w:t>DFTS-OFDM</w:t>
      </w:r>
      <w:r>
        <w:tab/>
      </w:r>
      <w:r>
        <w:fldChar w:fldCharType="begin"/>
      </w:r>
      <w:r>
        <w:instrText xml:space="preserve"> PAGEREF _Toc53775898 \h </w:instrText>
      </w:r>
      <w:r>
        <w:fldChar w:fldCharType="separate"/>
      </w:r>
      <w:r>
        <w:t>24</w:t>
      </w:r>
      <w:r>
        <w:fldChar w:fldCharType="end"/>
      </w:r>
    </w:p>
    <w:p w14:paraId="667821DF" w14:textId="2B706CD7" w:rsidR="00BE31F7" w:rsidRDefault="00BE31F7">
      <w:pPr>
        <w:pStyle w:val="TOC2"/>
        <w:rPr>
          <w:rFonts w:asciiTheme="minorHAnsi" w:eastAsiaTheme="minorEastAsia" w:hAnsiTheme="minorHAnsi" w:cstheme="minorBidi"/>
          <w:sz w:val="22"/>
          <w:szCs w:val="22"/>
          <w:lang w:val="en-US" w:eastAsia="en-US"/>
        </w:rPr>
      </w:pPr>
      <w:r>
        <w:t>3.4</w:t>
      </w:r>
      <w:r>
        <w:rPr>
          <w:rFonts w:asciiTheme="minorHAnsi" w:eastAsiaTheme="minorEastAsia" w:hAnsiTheme="minorHAnsi" w:cstheme="minorBidi"/>
          <w:sz w:val="22"/>
          <w:szCs w:val="22"/>
          <w:lang w:val="en-US" w:eastAsia="en-US"/>
        </w:rPr>
        <w:tab/>
      </w:r>
      <w:r>
        <w:t>Frequency and timing estimation issues</w:t>
      </w:r>
      <w:r>
        <w:tab/>
      </w:r>
      <w:r>
        <w:fldChar w:fldCharType="begin"/>
      </w:r>
      <w:r>
        <w:instrText xml:space="preserve"> PAGEREF _Toc53775899 \h </w:instrText>
      </w:r>
      <w:r>
        <w:fldChar w:fldCharType="separate"/>
      </w:r>
      <w:r>
        <w:t>25</w:t>
      </w:r>
      <w:r>
        <w:fldChar w:fldCharType="end"/>
      </w:r>
    </w:p>
    <w:p w14:paraId="29B856D5" w14:textId="071352B0" w:rsidR="00BE31F7" w:rsidRDefault="00BE31F7">
      <w:pPr>
        <w:pStyle w:val="TOC2"/>
        <w:rPr>
          <w:rFonts w:asciiTheme="minorHAnsi" w:eastAsiaTheme="minorEastAsia" w:hAnsiTheme="minorHAnsi" w:cstheme="minorBidi"/>
          <w:sz w:val="22"/>
          <w:szCs w:val="22"/>
          <w:lang w:val="en-US" w:eastAsia="en-US"/>
        </w:rPr>
      </w:pPr>
      <w:r>
        <w:t>3.5</w:t>
      </w:r>
      <w:r>
        <w:rPr>
          <w:rFonts w:asciiTheme="minorHAnsi" w:eastAsiaTheme="minorEastAsia" w:hAnsiTheme="minorHAnsi" w:cstheme="minorBidi"/>
          <w:sz w:val="22"/>
          <w:szCs w:val="22"/>
          <w:lang w:val="en-US" w:eastAsia="en-US"/>
        </w:rPr>
        <w:tab/>
      </w:r>
      <w:r>
        <w:t>Processing time issues</w:t>
      </w:r>
      <w:r>
        <w:tab/>
      </w:r>
      <w:r>
        <w:fldChar w:fldCharType="begin"/>
      </w:r>
      <w:r>
        <w:instrText xml:space="preserve"> PAGEREF _Toc53775900 \h </w:instrText>
      </w:r>
      <w:r>
        <w:fldChar w:fldCharType="separate"/>
      </w:r>
      <w:r>
        <w:t>29</w:t>
      </w:r>
      <w:r>
        <w:fldChar w:fldCharType="end"/>
      </w:r>
    </w:p>
    <w:p w14:paraId="1FE7F5A8" w14:textId="1DA36E1D" w:rsidR="00BE31F7" w:rsidRDefault="00BE31F7">
      <w:pPr>
        <w:pStyle w:val="TOC1"/>
        <w:rPr>
          <w:rFonts w:asciiTheme="minorHAnsi" w:eastAsiaTheme="minorEastAsia" w:hAnsiTheme="minorHAnsi" w:cstheme="minorBidi"/>
          <w:szCs w:val="22"/>
          <w:lang w:val="en-US" w:eastAsia="en-US"/>
        </w:rPr>
      </w:pPr>
      <w:r>
        <w:t>4</w:t>
      </w:r>
      <w:r>
        <w:rPr>
          <w:rFonts w:asciiTheme="minorHAnsi" w:eastAsiaTheme="minorEastAsia" w:hAnsiTheme="minorHAnsi" w:cstheme="minorBidi"/>
          <w:szCs w:val="22"/>
          <w:lang w:val="en-US" w:eastAsia="en-US"/>
        </w:rPr>
        <w:tab/>
      </w:r>
      <w:r>
        <w:t>Potential changes for NR operations in 52.6 to 71 GHz</w:t>
      </w:r>
      <w:r>
        <w:tab/>
      </w:r>
      <w:r>
        <w:fldChar w:fldCharType="begin"/>
      </w:r>
      <w:r>
        <w:instrText xml:space="preserve"> PAGEREF _Toc53775901 \h </w:instrText>
      </w:r>
      <w:r>
        <w:fldChar w:fldCharType="separate"/>
      </w:r>
      <w:r>
        <w:t>33</w:t>
      </w:r>
      <w:r>
        <w:fldChar w:fldCharType="end"/>
      </w:r>
    </w:p>
    <w:p w14:paraId="20C8046D" w14:textId="24D0AE46" w:rsidR="00BE31F7" w:rsidRDefault="00BE31F7">
      <w:pPr>
        <w:pStyle w:val="TOC2"/>
        <w:rPr>
          <w:rFonts w:asciiTheme="minorHAnsi" w:eastAsiaTheme="minorEastAsia" w:hAnsiTheme="minorHAnsi" w:cstheme="minorBidi"/>
          <w:sz w:val="22"/>
          <w:szCs w:val="22"/>
          <w:lang w:val="en-US" w:eastAsia="en-US"/>
        </w:rPr>
      </w:pPr>
      <w:r>
        <w:t>4.1</w:t>
      </w:r>
      <w:r>
        <w:rPr>
          <w:rFonts w:asciiTheme="minorHAnsi" w:eastAsiaTheme="minorEastAsia" w:hAnsiTheme="minorHAnsi" w:cstheme="minorBidi"/>
          <w:sz w:val="22"/>
          <w:szCs w:val="22"/>
          <w:lang w:val="en-US" w:eastAsia="en-US"/>
        </w:rPr>
        <w:tab/>
      </w:r>
      <w:r>
        <w:t>Initial access signals and channels</w:t>
      </w:r>
      <w:r>
        <w:tab/>
      </w:r>
      <w:r>
        <w:fldChar w:fldCharType="begin"/>
      </w:r>
      <w:r>
        <w:instrText xml:space="preserve"> PAGEREF _Toc53775902 \h </w:instrText>
      </w:r>
      <w:r>
        <w:fldChar w:fldCharType="separate"/>
      </w:r>
      <w:r>
        <w:t>33</w:t>
      </w:r>
      <w:r>
        <w:fldChar w:fldCharType="end"/>
      </w:r>
    </w:p>
    <w:p w14:paraId="345E8DA2" w14:textId="1E100C31" w:rsidR="00BE31F7" w:rsidRDefault="00BE31F7">
      <w:pPr>
        <w:pStyle w:val="TOC3"/>
        <w:rPr>
          <w:rFonts w:asciiTheme="minorHAnsi" w:eastAsiaTheme="minorEastAsia" w:hAnsiTheme="minorHAnsi" w:cstheme="minorBidi"/>
          <w:sz w:val="22"/>
          <w:szCs w:val="22"/>
          <w:lang w:val="en-US" w:eastAsia="en-US"/>
        </w:rPr>
      </w:pPr>
      <w:r>
        <w:t>4.1.1</w:t>
      </w:r>
      <w:r>
        <w:rPr>
          <w:rFonts w:asciiTheme="minorHAnsi" w:eastAsiaTheme="minorEastAsia" w:hAnsiTheme="minorHAnsi" w:cstheme="minorBidi"/>
          <w:sz w:val="22"/>
          <w:szCs w:val="22"/>
          <w:lang w:val="en-US" w:eastAsia="en-US"/>
        </w:rPr>
        <w:tab/>
      </w:r>
      <w:r>
        <w:t>SS/PBCH Block Related</w:t>
      </w:r>
      <w:r>
        <w:tab/>
      </w:r>
      <w:r>
        <w:fldChar w:fldCharType="begin"/>
      </w:r>
      <w:r>
        <w:instrText xml:space="preserve"> PAGEREF _Toc53775903 \h </w:instrText>
      </w:r>
      <w:r>
        <w:fldChar w:fldCharType="separate"/>
      </w:r>
      <w:r>
        <w:t>33</w:t>
      </w:r>
      <w:r>
        <w:fldChar w:fldCharType="end"/>
      </w:r>
    </w:p>
    <w:p w14:paraId="2A6C56FF" w14:textId="7E7A6839" w:rsidR="00BE31F7" w:rsidRDefault="00BE31F7">
      <w:pPr>
        <w:pStyle w:val="TOC3"/>
        <w:rPr>
          <w:rFonts w:asciiTheme="minorHAnsi" w:eastAsiaTheme="minorEastAsia" w:hAnsiTheme="minorHAnsi" w:cstheme="minorBidi"/>
          <w:sz w:val="22"/>
          <w:szCs w:val="22"/>
          <w:lang w:val="en-US" w:eastAsia="en-US"/>
        </w:rPr>
      </w:pPr>
      <w:r>
        <w:t>4.1.2</w:t>
      </w:r>
      <w:r>
        <w:rPr>
          <w:rFonts w:asciiTheme="minorHAnsi" w:eastAsiaTheme="minorEastAsia" w:hAnsiTheme="minorHAnsi" w:cstheme="minorBidi"/>
          <w:sz w:val="22"/>
          <w:szCs w:val="22"/>
          <w:lang w:val="en-US" w:eastAsia="en-US"/>
        </w:rPr>
        <w:tab/>
      </w:r>
      <w:r>
        <w:t>RACH Related</w:t>
      </w:r>
      <w:r>
        <w:tab/>
      </w:r>
      <w:r>
        <w:fldChar w:fldCharType="begin"/>
      </w:r>
      <w:r>
        <w:instrText xml:space="preserve"> PAGEREF _Toc53775904 \h </w:instrText>
      </w:r>
      <w:r>
        <w:fldChar w:fldCharType="separate"/>
      </w:r>
      <w:r>
        <w:t>38</w:t>
      </w:r>
      <w:r>
        <w:fldChar w:fldCharType="end"/>
      </w:r>
    </w:p>
    <w:p w14:paraId="195231A2" w14:textId="3899F5B2" w:rsidR="00BE31F7" w:rsidRDefault="00BE31F7">
      <w:pPr>
        <w:pStyle w:val="TOC2"/>
        <w:rPr>
          <w:rFonts w:asciiTheme="minorHAnsi" w:eastAsiaTheme="minorEastAsia" w:hAnsiTheme="minorHAnsi" w:cstheme="minorBidi"/>
          <w:sz w:val="22"/>
          <w:szCs w:val="22"/>
          <w:lang w:val="en-US" w:eastAsia="en-US"/>
        </w:rPr>
      </w:pPr>
      <w:r>
        <w:t>4.2</w:t>
      </w:r>
      <w:r>
        <w:rPr>
          <w:rFonts w:asciiTheme="minorHAnsi" w:eastAsiaTheme="minorEastAsia" w:hAnsiTheme="minorHAnsi" w:cstheme="minorBidi"/>
          <w:sz w:val="22"/>
          <w:szCs w:val="22"/>
          <w:lang w:val="en-US" w:eastAsia="en-US"/>
        </w:rPr>
        <w:tab/>
      </w:r>
      <w:r>
        <w:t>DL signals and channels</w:t>
      </w:r>
      <w:r>
        <w:tab/>
      </w:r>
      <w:r>
        <w:fldChar w:fldCharType="begin"/>
      </w:r>
      <w:r>
        <w:instrText xml:space="preserve"> PAGEREF _Toc53775905 \h </w:instrText>
      </w:r>
      <w:r>
        <w:fldChar w:fldCharType="separate"/>
      </w:r>
      <w:r>
        <w:t>40</w:t>
      </w:r>
      <w:r>
        <w:fldChar w:fldCharType="end"/>
      </w:r>
    </w:p>
    <w:p w14:paraId="0146C1C9" w14:textId="5C02ABE6" w:rsidR="00BE31F7" w:rsidRDefault="00BE31F7">
      <w:pPr>
        <w:pStyle w:val="TOC3"/>
        <w:rPr>
          <w:rFonts w:asciiTheme="minorHAnsi" w:eastAsiaTheme="minorEastAsia" w:hAnsiTheme="minorHAnsi" w:cstheme="minorBidi"/>
          <w:sz w:val="22"/>
          <w:szCs w:val="22"/>
          <w:lang w:val="en-US" w:eastAsia="en-US"/>
        </w:rPr>
      </w:pPr>
      <w:r>
        <w:t>4.2.1</w:t>
      </w:r>
      <w:r>
        <w:rPr>
          <w:rFonts w:asciiTheme="minorHAnsi" w:eastAsiaTheme="minorEastAsia" w:hAnsiTheme="minorHAnsi" w:cstheme="minorBidi"/>
          <w:sz w:val="22"/>
          <w:szCs w:val="22"/>
          <w:lang w:val="en-US" w:eastAsia="en-US"/>
        </w:rPr>
        <w:tab/>
      </w:r>
      <w:r>
        <w:t>PTRS Design</w:t>
      </w:r>
      <w:r>
        <w:tab/>
      </w:r>
      <w:r>
        <w:fldChar w:fldCharType="begin"/>
      </w:r>
      <w:r>
        <w:instrText xml:space="preserve"> PAGEREF _Toc53775906 \h </w:instrText>
      </w:r>
      <w:r>
        <w:fldChar w:fldCharType="separate"/>
      </w:r>
      <w:r>
        <w:t>40</w:t>
      </w:r>
      <w:r>
        <w:fldChar w:fldCharType="end"/>
      </w:r>
    </w:p>
    <w:p w14:paraId="1284FCC3" w14:textId="2EDA0CF4" w:rsidR="00BE31F7" w:rsidRDefault="00BE31F7">
      <w:pPr>
        <w:pStyle w:val="TOC3"/>
        <w:rPr>
          <w:rFonts w:asciiTheme="minorHAnsi" w:eastAsiaTheme="minorEastAsia" w:hAnsiTheme="minorHAnsi" w:cstheme="minorBidi"/>
          <w:sz w:val="22"/>
          <w:szCs w:val="22"/>
          <w:lang w:val="en-US" w:eastAsia="en-US"/>
        </w:rPr>
      </w:pPr>
      <w:r>
        <w:t>4.2.2</w:t>
      </w:r>
      <w:r>
        <w:rPr>
          <w:rFonts w:asciiTheme="minorHAnsi" w:eastAsiaTheme="minorEastAsia" w:hAnsiTheme="minorHAnsi" w:cstheme="minorBidi"/>
          <w:sz w:val="22"/>
          <w:szCs w:val="22"/>
          <w:lang w:val="en-US" w:eastAsia="en-US"/>
        </w:rPr>
        <w:tab/>
      </w:r>
      <w:r>
        <w:t>DMRS Design</w:t>
      </w:r>
      <w:r>
        <w:tab/>
      </w:r>
      <w:r>
        <w:fldChar w:fldCharType="begin"/>
      </w:r>
      <w:r>
        <w:instrText xml:space="preserve"> PAGEREF _Toc53775907 \h </w:instrText>
      </w:r>
      <w:r>
        <w:fldChar w:fldCharType="separate"/>
      </w:r>
      <w:r>
        <w:t>44</w:t>
      </w:r>
      <w:r>
        <w:fldChar w:fldCharType="end"/>
      </w:r>
    </w:p>
    <w:p w14:paraId="12E175EC" w14:textId="3178FBD3" w:rsidR="00BE31F7" w:rsidRDefault="00BE31F7">
      <w:pPr>
        <w:pStyle w:val="TOC2"/>
        <w:rPr>
          <w:rFonts w:asciiTheme="minorHAnsi" w:eastAsiaTheme="minorEastAsia" w:hAnsiTheme="minorHAnsi" w:cstheme="minorBidi"/>
          <w:sz w:val="22"/>
          <w:szCs w:val="22"/>
          <w:lang w:val="en-US" w:eastAsia="en-US"/>
        </w:rPr>
      </w:pPr>
      <w:r>
        <w:t>4.3</w:t>
      </w:r>
      <w:r>
        <w:rPr>
          <w:rFonts w:asciiTheme="minorHAnsi" w:eastAsiaTheme="minorEastAsia" w:hAnsiTheme="minorHAnsi" w:cstheme="minorBidi"/>
          <w:sz w:val="22"/>
          <w:szCs w:val="22"/>
          <w:lang w:val="en-US" w:eastAsia="en-US"/>
        </w:rPr>
        <w:tab/>
      </w:r>
      <w:r>
        <w:t>UL signals and channels</w:t>
      </w:r>
      <w:r>
        <w:tab/>
      </w:r>
      <w:r>
        <w:fldChar w:fldCharType="begin"/>
      </w:r>
      <w:r>
        <w:instrText xml:space="preserve"> PAGEREF _Toc53775908 \h </w:instrText>
      </w:r>
      <w:r>
        <w:fldChar w:fldCharType="separate"/>
      </w:r>
      <w:r>
        <w:t>45</w:t>
      </w:r>
      <w:r>
        <w:fldChar w:fldCharType="end"/>
      </w:r>
    </w:p>
    <w:p w14:paraId="6E759CBC" w14:textId="146C960F" w:rsidR="00BE31F7" w:rsidRDefault="00BE31F7">
      <w:pPr>
        <w:pStyle w:val="TOC2"/>
        <w:rPr>
          <w:rFonts w:asciiTheme="minorHAnsi" w:eastAsiaTheme="minorEastAsia" w:hAnsiTheme="minorHAnsi" w:cstheme="minorBidi"/>
          <w:sz w:val="22"/>
          <w:szCs w:val="22"/>
          <w:lang w:val="en-US" w:eastAsia="en-US"/>
        </w:rPr>
      </w:pPr>
      <w:r>
        <w:t>4.4</w:t>
      </w:r>
      <w:r>
        <w:rPr>
          <w:rFonts w:asciiTheme="minorHAnsi" w:eastAsiaTheme="minorEastAsia" w:hAnsiTheme="minorHAnsi" w:cstheme="minorBidi"/>
          <w:sz w:val="22"/>
          <w:szCs w:val="22"/>
          <w:lang w:val="en-US" w:eastAsia="en-US"/>
        </w:rPr>
        <w:tab/>
      </w:r>
      <w:r>
        <w:t>Scheduling and HARQ</w:t>
      </w:r>
      <w:r>
        <w:tab/>
      </w:r>
      <w:r>
        <w:fldChar w:fldCharType="begin"/>
      </w:r>
      <w:r>
        <w:instrText xml:space="preserve"> PAGEREF _Toc53775909 \h </w:instrText>
      </w:r>
      <w:r>
        <w:fldChar w:fldCharType="separate"/>
      </w:r>
      <w:r>
        <w:t>47</w:t>
      </w:r>
      <w:r>
        <w:fldChar w:fldCharType="end"/>
      </w:r>
    </w:p>
    <w:p w14:paraId="310AD11F" w14:textId="6E8D8D05" w:rsidR="00BE31F7" w:rsidRDefault="00BE31F7">
      <w:pPr>
        <w:pStyle w:val="TOC3"/>
        <w:rPr>
          <w:rFonts w:asciiTheme="minorHAnsi" w:eastAsiaTheme="minorEastAsia" w:hAnsiTheme="minorHAnsi" w:cstheme="minorBidi"/>
          <w:sz w:val="22"/>
          <w:szCs w:val="22"/>
          <w:lang w:val="en-US" w:eastAsia="en-US"/>
        </w:rPr>
      </w:pPr>
      <w:r>
        <w:t>4.4.1</w:t>
      </w:r>
      <w:r>
        <w:rPr>
          <w:rFonts w:asciiTheme="minorHAnsi" w:eastAsiaTheme="minorEastAsia" w:hAnsiTheme="minorHAnsi" w:cstheme="minorBidi"/>
          <w:sz w:val="22"/>
          <w:szCs w:val="22"/>
          <w:lang w:val="en-US" w:eastAsia="en-US"/>
        </w:rPr>
        <w:tab/>
      </w:r>
      <w:r>
        <w:t>Time domain resource allocation aspects</w:t>
      </w:r>
      <w:r>
        <w:tab/>
      </w:r>
      <w:r>
        <w:fldChar w:fldCharType="begin"/>
      </w:r>
      <w:r>
        <w:instrText xml:space="preserve"> PAGEREF _Toc53775910 \h </w:instrText>
      </w:r>
      <w:r>
        <w:fldChar w:fldCharType="separate"/>
      </w:r>
      <w:r>
        <w:t>47</w:t>
      </w:r>
      <w:r>
        <w:fldChar w:fldCharType="end"/>
      </w:r>
    </w:p>
    <w:p w14:paraId="07055507" w14:textId="1D1BAF10" w:rsidR="00BE31F7" w:rsidRDefault="00BE31F7">
      <w:pPr>
        <w:pStyle w:val="TOC3"/>
        <w:rPr>
          <w:rFonts w:asciiTheme="minorHAnsi" w:eastAsiaTheme="minorEastAsia" w:hAnsiTheme="minorHAnsi" w:cstheme="minorBidi"/>
          <w:sz w:val="22"/>
          <w:szCs w:val="22"/>
          <w:lang w:val="en-US" w:eastAsia="en-US"/>
        </w:rPr>
      </w:pPr>
      <w:r>
        <w:t>4.4.2</w:t>
      </w:r>
      <w:r>
        <w:rPr>
          <w:rFonts w:asciiTheme="minorHAnsi" w:eastAsiaTheme="minorEastAsia" w:hAnsiTheme="minorHAnsi" w:cstheme="minorBidi"/>
          <w:sz w:val="22"/>
          <w:szCs w:val="22"/>
          <w:lang w:val="en-US" w:eastAsia="en-US"/>
        </w:rPr>
        <w:tab/>
      </w:r>
      <w:r>
        <w:t>Frequency domain resource allocation aspects</w:t>
      </w:r>
      <w:r>
        <w:tab/>
      </w:r>
      <w:r>
        <w:fldChar w:fldCharType="begin"/>
      </w:r>
      <w:r>
        <w:instrText xml:space="preserve"> PAGEREF _Toc53775911 \h </w:instrText>
      </w:r>
      <w:r>
        <w:fldChar w:fldCharType="separate"/>
      </w:r>
      <w:r>
        <w:t>49</w:t>
      </w:r>
      <w:r>
        <w:fldChar w:fldCharType="end"/>
      </w:r>
    </w:p>
    <w:p w14:paraId="729B9AF2" w14:textId="7BBA5909" w:rsidR="00BE31F7" w:rsidRDefault="00BE31F7">
      <w:pPr>
        <w:pStyle w:val="TOC3"/>
        <w:rPr>
          <w:rFonts w:asciiTheme="minorHAnsi" w:eastAsiaTheme="minorEastAsia" w:hAnsiTheme="minorHAnsi" w:cstheme="minorBidi"/>
          <w:sz w:val="22"/>
          <w:szCs w:val="22"/>
          <w:lang w:val="en-US" w:eastAsia="en-US"/>
        </w:rPr>
      </w:pPr>
      <w:r>
        <w:t>4.4.3</w:t>
      </w:r>
      <w:r>
        <w:rPr>
          <w:rFonts w:asciiTheme="minorHAnsi" w:eastAsiaTheme="minorEastAsia" w:hAnsiTheme="minorHAnsi" w:cstheme="minorBidi"/>
          <w:sz w:val="22"/>
          <w:szCs w:val="22"/>
          <w:lang w:val="en-US" w:eastAsia="en-US"/>
        </w:rPr>
        <w:tab/>
      </w:r>
      <w:r>
        <w:t>PDSCH processing time improvement</w:t>
      </w:r>
      <w:r>
        <w:tab/>
      </w:r>
      <w:r>
        <w:fldChar w:fldCharType="begin"/>
      </w:r>
      <w:r>
        <w:instrText xml:space="preserve"> PAGEREF _Toc53775912 \h </w:instrText>
      </w:r>
      <w:r>
        <w:fldChar w:fldCharType="separate"/>
      </w:r>
      <w:r>
        <w:t>49</w:t>
      </w:r>
      <w:r>
        <w:fldChar w:fldCharType="end"/>
      </w:r>
    </w:p>
    <w:p w14:paraId="569438F6" w14:textId="6A7A3624" w:rsidR="00BE31F7" w:rsidRDefault="00BE31F7">
      <w:pPr>
        <w:pStyle w:val="TOC3"/>
        <w:rPr>
          <w:rFonts w:asciiTheme="minorHAnsi" w:eastAsiaTheme="minorEastAsia" w:hAnsiTheme="minorHAnsi" w:cstheme="minorBidi"/>
          <w:sz w:val="22"/>
          <w:szCs w:val="22"/>
          <w:lang w:val="en-US" w:eastAsia="en-US"/>
        </w:rPr>
      </w:pPr>
      <w:r>
        <w:t>4.4.4</w:t>
      </w:r>
      <w:r>
        <w:rPr>
          <w:rFonts w:asciiTheme="minorHAnsi" w:eastAsiaTheme="minorEastAsia" w:hAnsiTheme="minorHAnsi" w:cstheme="minorBidi"/>
          <w:sz w:val="22"/>
          <w:szCs w:val="22"/>
          <w:lang w:val="en-US" w:eastAsia="en-US"/>
        </w:rPr>
        <w:tab/>
      </w:r>
      <w:r>
        <w:t>Scheduling request enhancements</w:t>
      </w:r>
      <w:r>
        <w:tab/>
      </w:r>
      <w:r>
        <w:fldChar w:fldCharType="begin"/>
      </w:r>
      <w:r>
        <w:instrText xml:space="preserve"> PAGEREF _Toc53775913 \h </w:instrText>
      </w:r>
      <w:r>
        <w:fldChar w:fldCharType="separate"/>
      </w:r>
      <w:r>
        <w:t>50</w:t>
      </w:r>
      <w:r>
        <w:fldChar w:fldCharType="end"/>
      </w:r>
    </w:p>
    <w:p w14:paraId="0F5A29BC" w14:textId="4916DFAF" w:rsidR="00BE31F7" w:rsidRDefault="00BE31F7">
      <w:pPr>
        <w:pStyle w:val="TOC2"/>
        <w:rPr>
          <w:rFonts w:asciiTheme="minorHAnsi" w:eastAsiaTheme="minorEastAsia" w:hAnsiTheme="minorHAnsi" w:cstheme="minorBidi"/>
          <w:sz w:val="22"/>
          <w:szCs w:val="22"/>
          <w:lang w:val="en-US" w:eastAsia="en-US"/>
        </w:rPr>
      </w:pPr>
      <w:r>
        <w:t>4.5</w:t>
      </w:r>
      <w:r>
        <w:rPr>
          <w:rFonts w:asciiTheme="minorHAnsi" w:eastAsiaTheme="minorEastAsia" w:hAnsiTheme="minorHAnsi" w:cstheme="minorBidi"/>
          <w:sz w:val="22"/>
          <w:szCs w:val="22"/>
          <w:lang w:val="en-US" w:eastAsia="en-US"/>
        </w:rPr>
        <w:tab/>
      </w:r>
      <w:r>
        <w:t>Beam management</w:t>
      </w:r>
      <w:r>
        <w:tab/>
      </w:r>
      <w:r>
        <w:fldChar w:fldCharType="begin"/>
      </w:r>
      <w:r>
        <w:instrText xml:space="preserve"> PAGEREF _Toc53775914 \h </w:instrText>
      </w:r>
      <w:r>
        <w:fldChar w:fldCharType="separate"/>
      </w:r>
      <w:r>
        <w:t>52</w:t>
      </w:r>
      <w:r>
        <w:fldChar w:fldCharType="end"/>
      </w:r>
    </w:p>
    <w:p w14:paraId="10FFC826" w14:textId="52880778" w:rsidR="00BE31F7" w:rsidRDefault="00BE31F7">
      <w:pPr>
        <w:pStyle w:val="TOC2"/>
        <w:rPr>
          <w:rFonts w:asciiTheme="minorHAnsi" w:eastAsiaTheme="minorEastAsia" w:hAnsiTheme="minorHAnsi" w:cstheme="minorBidi"/>
          <w:sz w:val="22"/>
          <w:szCs w:val="22"/>
          <w:lang w:val="en-US" w:eastAsia="en-US"/>
        </w:rPr>
      </w:pPr>
      <w:r>
        <w:t>4.6</w:t>
      </w:r>
      <w:r>
        <w:rPr>
          <w:rFonts w:asciiTheme="minorHAnsi" w:eastAsiaTheme="minorEastAsia" w:hAnsiTheme="minorHAnsi" w:cstheme="minorBidi"/>
          <w:sz w:val="22"/>
          <w:szCs w:val="22"/>
          <w:lang w:val="en-US" w:eastAsia="en-US"/>
        </w:rPr>
        <w:tab/>
      </w:r>
      <w:r>
        <w:t>Miscellaneous</w:t>
      </w:r>
      <w:r>
        <w:tab/>
      </w:r>
      <w:r>
        <w:fldChar w:fldCharType="begin"/>
      </w:r>
      <w:r>
        <w:instrText xml:space="preserve"> PAGEREF _Toc53775915 \h </w:instrText>
      </w:r>
      <w:r>
        <w:fldChar w:fldCharType="separate"/>
      </w:r>
      <w:r>
        <w:t>54</w:t>
      </w:r>
      <w:r>
        <w:fldChar w:fldCharType="end"/>
      </w:r>
    </w:p>
    <w:p w14:paraId="3FAE0BC8" w14:textId="6CF2A6C5" w:rsidR="00BE31F7" w:rsidRDefault="00BE31F7">
      <w:pPr>
        <w:pStyle w:val="TOC1"/>
        <w:rPr>
          <w:rFonts w:asciiTheme="minorHAnsi" w:eastAsiaTheme="minorEastAsia" w:hAnsiTheme="minorHAnsi" w:cstheme="minorBidi"/>
          <w:szCs w:val="22"/>
          <w:lang w:val="en-US" w:eastAsia="en-US"/>
        </w:rPr>
      </w:pPr>
      <w:r>
        <w:t>5</w:t>
      </w:r>
      <w:r>
        <w:rPr>
          <w:rFonts w:asciiTheme="minorHAnsi" w:eastAsiaTheme="minorEastAsia" w:hAnsiTheme="minorHAnsi" w:cstheme="minorBidi"/>
          <w:szCs w:val="22"/>
          <w:lang w:val="en-US" w:eastAsia="en-US"/>
        </w:rPr>
        <w:tab/>
      </w:r>
      <w:r>
        <w:t>Conclusion</w:t>
      </w:r>
      <w:r>
        <w:tab/>
      </w:r>
      <w:r>
        <w:fldChar w:fldCharType="begin"/>
      </w:r>
      <w:r>
        <w:instrText xml:space="preserve"> PAGEREF _Toc53775916 \h </w:instrText>
      </w:r>
      <w:r>
        <w:fldChar w:fldCharType="separate"/>
      </w:r>
      <w:r>
        <w:t>55</w:t>
      </w:r>
      <w:r>
        <w:fldChar w:fldCharType="end"/>
      </w:r>
    </w:p>
    <w:p w14:paraId="1306D76B" w14:textId="4AD36700" w:rsidR="00BE31F7" w:rsidRDefault="00BE31F7">
      <w:pPr>
        <w:pStyle w:val="TOC1"/>
        <w:rPr>
          <w:rFonts w:asciiTheme="minorHAnsi" w:eastAsiaTheme="minorEastAsia" w:hAnsiTheme="minorHAnsi" w:cstheme="minorBidi"/>
          <w:szCs w:val="22"/>
          <w:lang w:val="en-US" w:eastAsia="en-US"/>
        </w:rPr>
      </w:pPr>
      <w:r>
        <w:t>6</w:t>
      </w:r>
      <w:r>
        <w:rPr>
          <w:rFonts w:asciiTheme="minorHAnsi" w:eastAsiaTheme="minorEastAsia" w:hAnsiTheme="minorHAnsi" w:cstheme="minorBidi"/>
          <w:szCs w:val="22"/>
          <w:lang w:val="en-US" w:eastAsia="en-US"/>
        </w:rPr>
        <w:tab/>
      </w:r>
      <w:r>
        <w:t>References</w:t>
      </w:r>
      <w:r>
        <w:tab/>
      </w:r>
      <w:r>
        <w:fldChar w:fldCharType="begin"/>
      </w:r>
      <w:r>
        <w:instrText xml:space="preserve"> PAGEREF _Toc53775917 \h </w:instrText>
      </w:r>
      <w:r>
        <w:fldChar w:fldCharType="separate"/>
      </w:r>
      <w:r>
        <w:t>59</w:t>
      </w:r>
      <w:r>
        <w:fldChar w:fldCharType="end"/>
      </w:r>
    </w:p>
    <w:p w14:paraId="57E92B55" w14:textId="0882DC98" w:rsidR="00553A2F" w:rsidRPr="00CE0424" w:rsidRDefault="00553A2F" w:rsidP="008A2C71">
      <w:pPr>
        <w:pStyle w:val="3GPPHeader"/>
        <w:rPr>
          <w:sz w:val="22"/>
        </w:rPr>
      </w:pPr>
      <w:r>
        <w:rPr>
          <w:rFonts w:ascii="Times New Roman" w:hAnsi="Times New Roman"/>
          <w:b w:val="0"/>
          <w:sz w:val="20"/>
          <w:lang w:eastAsia="ja-JP"/>
        </w:rPr>
        <w:fldChar w:fldCharType="end"/>
      </w:r>
    </w:p>
    <w:p w14:paraId="0DDD8C91" w14:textId="520F1410" w:rsidR="008A2C71" w:rsidRPr="00CE0424" w:rsidRDefault="008A2C71" w:rsidP="008A2C71">
      <w:pPr>
        <w:pStyle w:val="Heading1"/>
      </w:pPr>
      <w:bookmarkStart w:id="3" w:name="_Toc46307390"/>
      <w:bookmarkStart w:id="4" w:name="_Toc47530168"/>
      <w:bookmarkStart w:id="5" w:name="_Toc53775883"/>
      <w:r>
        <w:lastRenderedPageBreak/>
        <w:t>1</w:t>
      </w:r>
      <w:r>
        <w:tab/>
      </w:r>
      <w:r w:rsidRPr="00CE0424">
        <w:t>Introduction</w:t>
      </w:r>
      <w:bookmarkEnd w:id="3"/>
      <w:bookmarkEnd w:id="4"/>
      <w:bookmarkEnd w:id="5"/>
      <w:r w:rsidR="0045249A">
        <w:t xml:space="preserve"> </w:t>
      </w:r>
    </w:p>
    <w:p w14:paraId="6F434CE2" w14:textId="6933517A" w:rsidR="008A2C71" w:rsidRPr="00EA0A41" w:rsidRDefault="0005399C" w:rsidP="008A2C71">
      <w:pPr>
        <w:pStyle w:val="BodyText"/>
      </w:pPr>
      <w:r>
        <w:t>A</w:t>
      </w:r>
      <w:r w:rsidR="008A2C71" w:rsidRPr="00EA0A41">
        <w:t xml:space="preserve"> new SI </w:t>
      </w:r>
      <w:r w:rsidR="008A2C71">
        <w:fldChar w:fldCharType="begin"/>
      </w:r>
      <w:r w:rsidR="008A2C71" w:rsidRPr="00EA0A41">
        <w:instrText xml:space="preserve"> REF _Ref37859208 \r \h </w:instrText>
      </w:r>
      <w:r w:rsidR="008A2C71">
        <w:fldChar w:fldCharType="separate"/>
      </w:r>
      <w:r w:rsidR="00BE31F7">
        <w:t>[1]</w:t>
      </w:r>
      <w:r w:rsidR="008A2C71">
        <w:fldChar w:fldCharType="end"/>
      </w:r>
      <w:r w:rsidR="008A2C71" w:rsidRPr="00EA0A41">
        <w:t xml:space="preserve"> and a new WI </w:t>
      </w:r>
      <w:r w:rsidR="008A2C71">
        <w:fldChar w:fldCharType="begin"/>
      </w:r>
      <w:r w:rsidR="008A2C71" w:rsidRPr="00EA0A41">
        <w:instrText xml:space="preserve"> REF _Ref37858025 \r \h </w:instrText>
      </w:r>
      <w:r w:rsidR="008A2C71">
        <w:fldChar w:fldCharType="separate"/>
      </w:r>
      <w:r w:rsidR="00BE31F7">
        <w:t>[2]</w:t>
      </w:r>
      <w:r w:rsidR="008A2C71">
        <w:fldChar w:fldCharType="end"/>
      </w:r>
      <w:r w:rsidR="008A2C71" w:rsidRPr="00EA0A41">
        <w:t xml:space="preserve"> were approved in RAN #86 to study and extend NR support in the frequency range of 52.6 GHz to 71 GHz.</w:t>
      </w:r>
      <w:r>
        <w:t xml:space="preserve"> </w:t>
      </w:r>
      <w:r w:rsidR="008A2C71" w:rsidRPr="00EA0A41">
        <w:t>This study item will include the following objectives:</w:t>
      </w:r>
    </w:p>
    <w:p w14:paraId="03E96301" w14:textId="77777777" w:rsidR="008A2C71" w:rsidRPr="00236EC1" w:rsidRDefault="008A2C71" w:rsidP="004829CE">
      <w:pPr>
        <w:pStyle w:val="BodyText"/>
        <w:numPr>
          <w:ilvl w:val="0"/>
          <w:numId w:val="13"/>
        </w:numPr>
        <w:rPr>
          <w:bCs/>
        </w:rPr>
      </w:pPr>
      <w:r w:rsidRPr="00236EC1">
        <w:rPr>
          <w:bCs/>
        </w:rPr>
        <w:t>Study of required changes to NR using existing DL/UL NR waveform to support operation between 52.6 GHz and 71 GHz</w:t>
      </w:r>
    </w:p>
    <w:p w14:paraId="2B87DC3B" w14:textId="77777777" w:rsidR="008A2C71" w:rsidRPr="00236EC1" w:rsidRDefault="008A2C71" w:rsidP="004829CE">
      <w:pPr>
        <w:pStyle w:val="BodyText"/>
        <w:numPr>
          <w:ilvl w:val="1"/>
          <w:numId w:val="13"/>
        </w:numPr>
        <w:rPr>
          <w:bCs/>
        </w:rPr>
      </w:pPr>
      <w:r w:rsidRPr="00236EC1">
        <w:rPr>
          <w:bCs/>
        </w:rPr>
        <w:t>Study of applicable numerology including subcarrier spacing, channel BW (including maximum BW), and their impact to FR2 physical layer design to support system functionality considering practical RF impairments [RAN1</w:t>
      </w:r>
      <w:r w:rsidRPr="00EA0A41">
        <w:t>, RAN4</w:t>
      </w:r>
      <w:r w:rsidRPr="00236EC1">
        <w:rPr>
          <w:bCs/>
        </w:rPr>
        <w:t>].</w:t>
      </w:r>
    </w:p>
    <w:p w14:paraId="1618861F" w14:textId="77777777" w:rsidR="008A2C71" w:rsidRPr="00236EC1" w:rsidRDefault="008A2C71" w:rsidP="004829CE">
      <w:pPr>
        <w:pStyle w:val="BodyText"/>
        <w:numPr>
          <w:ilvl w:val="1"/>
          <w:numId w:val="13"/>
        </w:numPr>
        <w:rPr>
          <w:bCs/>
        </w:rPr>
      </w:pPr>
      <w:r w:rsidRPr="00EA0A41">
        <w:t>Identify potential critical problems to physical signal/channels, if any [RAN1].</w:t>
      </w:r>
    </w:p>
    <w:p w14:paraId="45DE2010" w14:textId="77777777" w:rsidR="008A2C71" w:rsidRPr="00236EC1" w:rsidRDefault="008A2C71" w:rsidP="004829CE">
      <w:pPr>
        <w:pStyle w:val="BodyText"/>
        <w:numPr>
          <w:ilvl w:val="0"/>
          <w:numId w:val="13"/>
        </w:numPr>
        <w:rPr>
          <w:bCs/>
        </w:rPr>
      </w:pPr>
      <w:r w:rsidRPr="00236EC1">
        <w:rPr>
          <w:bCs/>
        </w:rPr>
        <w:t xml:space="preserve">Study of channel access mechanism, considering potential interference to/from other nodes, assuming </w:t>
      </w:r>
      <w:proofErr w:type="gramStart"/>
      <w:r w:rsidRPr="00236EC1">
        <w:rPr>
          <w:bCs/>
        </w:rPr>
        <w:t>beam based</w:t>
      </w:r>
      <w:proofErr w:type="gramEnd"/>
      <w:r w:rsidRPr="00236EC1">
        <w:rPr>
          <w:bCs/>
        </w:rPr>
        <w:t xml:space="preserve"> operation, in order to comply with the regulatory requirements applicable to unlicensed spectrum for frequencies between 52.6 GHz and 71 GHz [RAN1].</w:t>
      </w:r>
    </w:p>
    <w:p w14:paraId="7580E69E" w14:textId="77777777" w:rsidR="008A2C71" w:rsidRPr="00236EC1" w:rsidRDefault="008A2C71" w:rsidP="004829CE">
      <w:pPr>
        <w:pStyle w:val="BodyText"/>
        <w:numPr>
          <w:ilvl w:val="1"/>
          <w:numId w:val="13"/>
        </w:numPr>
        <w:rPr>
          <w:bCs/>
        </w:rPr>
      </w:pPr>
      <w:r w:rsidRPr="00236EC1">
        <w:rPr>
          <w:bCs/>
        </w:rPr>
        <w:t xml:space="preserve">Note: It is clarified that potential interference impact, if identified, may require interference mitigation solutions as part of channel access mechanism.   </w:t>
      </w:r>
    </w:p>
    <w:p w14:paraId="6D1C2F4F" w14:textId="77777777" w:rsidR="008A2C71" w:rsidRPr="00CF5C01" w:rsidRDefault="008A2C71" w:rsidP="008A2C71">
      <w:pPr>
        <w:pStyle w:val="BodyText"/>
        <w:rPr>
          <w:bCs/>
        </w:rPr>
      </w:pPr>
      <w:r w:rsidRPr="00EA0A41">
        <w:t xml:space="preserve">The objectives for the WI, according to the outcome of the study item and leveraging FR2 design to the extent possible, are to extend NR operation up to 71 GHz considering both licensed and unlicensed operation. </w:t>
      </w:r>
      <w:r>
        <w:rPr>
          <w:bCs/>
        </w:rPr>
        <w:t>T</w:t>
      </w:r>
      <w:r w:rsidRPr="00CF5C01">
        <w:rPr>
          <w:bCs/>
        </w:rPr>
        <w:t xml:space="preserve">he following </w:t>
      </w:r>
      <w:r>
        <w:rPr>
          <w:bCs/>
        </w:rPr>
        <w:t xml:space="preserve">lists </w:t>
      </w:r>
      <w:r w:rsidRPr="00CF5C01">
        <w:rPr>
          <w:bCs/>
        </w:rPr>
        <w:t>objectives</w:t>
      </w:r>
      <w:r>
        <w:rPr>
          <w:bCs/>
        </w:rPr>
        <w:t xml:space="preserve"> with RAN1 lead</w:t>
      </w:r>
      <w:r w:rsidRPr="00CF5C01">
        <w:rPr>
          <w:rFonts w:hint="eastAsia"/>
          <w:bCs/>
        </w:rPr>
        <w:t>:</w:t>
      </w:r>
    </w:p>
    <w:p w14:paraId="6D4FE9E6" w14:textId="77777777" w:rsidR="008A2C71" w:rsidRPr="00EA0A41" w:rsidRDefault="008A2C71" w:rsidP="004829CE">
      <w:pPr>
        <w:pStyle w:val="BodyText"/>
        <w:numPr>
          <w:ilvl w:val="0"/>
          <w:numId w:val="14"/>
        </w:numPr>
      </w:pPr>
      <w:r w:rsidRPr="00EA0A41">
        <w:rPr>
          <w:rFonts w:hint="eastAsia"/>
        </w:rPr>
        <w:t>Physical layer aspects</w:t>
      </w:r>
      <w:r w:rsidRPr="00EA0A41">
        <w:t xml:space="preserve"> including [RAN1]</w:t>
      </w:r>
      <w:r w:rsidRPr="00EA0A41">
        <w:rPr>
          <w:rFonts w:hint="eastAsia"/>
        </w:rPr>
        <w:t>:</w:t>
      </w:r>
    </w:p>
    <w:p w14:paraId="2DCD14AB" w14:textId="77777777" w:rsidR="008A2C71" w:rsidRPr="00EA0A41" w:rsidRDefault="008A2C71" w:rsidP="004829CE">
      <w:pPr>
        <w:pStyle w:val="BodyText"/>
        <w:numPr>
          <w:ilvl w:val="1"/>
          <w:numId w:val="14"/>
        </w:numPr>
      </w:pPr>
      <w:bookmarkStart w:id="6" w:name="_Hlk26996217"/>
      <w:r w:rsidRPr="00EA0A41">
        <w:t xml:space="preserve">New numerology or numerologies (µ value in 38.211) for operation in this frequency range. Addressing impact on physical signals/channels if any, as identified in the SI. </w:t>
      </w:r>
    </w:p>
    <w:bookmarkEnd w:id="6"/>
    <w:p w14:paraId="2F9E9E31" w14:textId="77777777" w:rsidR="008A2C71" w:rsidRPr="00EA0A41" w:rsidRDefault="008A2C71" w:rsidP="004829CE">
      <w:pPr>
        <w:pStyle w:val="BodyText"/>
        <w:numPr>
          <w:ilvl w:val="1"/>
          <w:numId w:val="14"/>
        </w:numPr>
      </w:pPr>
      <w:proofErr w:type="gramStart"/>
      <w:r w:rsidRPr="00EA0A41">
        <w:t>Time line</w:t>
      </w:r>
      <w:proofErr w:type="gramEnd"/>
      <w:r w:rsidRPr="00EA0A41">
        <w:t xml:space="preserve"> related aspects adapted to each of the new numerologies, e.g., BWP and beam switching times, HARQ scheduling, UE processing, preparation and computation times for PDSCH, PUSCH/SRS and CSI, respectively. </w:t>
      </w:r>
    </w:p>
    <w:p w14:paraId="73278EDF" w14:textId="77777777" w:rsidR="008A2C71" w:rsidRPr="00EA0A41" w:rsidRDefault="008A2C71" w:rsidP="004829CE">
      <w:pPr>
        <w:pStyle w:val="BodyText"/>
        <w:numPr>
          <w:ilvl w:val="1"/>
          <w:numId w:val="14"/>
        </w:numPr>
      </w:pPr>
      <w:r w:rsidRPr="00EA0A41">
        <w:t xml:space="preserve">Support of up to 64 SSB beams for licensed and unlicensed operation in this frequency range. </w:t>
      </w:r>
    </w:p>
    <w:p w14:paraId="4FA0EF61" w14:textId="77777777" w:rsidR="008A2C71" w:rsidRPr="00EA0A41" w:rsidRDefault="008A2C71" w:rsidP="004829CE">
      <w:pPr>
        <w:pStyle w:val="BodyText"/>
        <w:numPr>
          <w:ilvl w:val="0"/>
          <w:numId w:val="14"/>
        </w:numPr>
      </w:pPr>
      <w:r w:rsidRPr="00EA0A41">
        <w:t>Physical layer procedure(s) including [RAN1]</w:t>
      </w:r>
      <w:r w:rsidRPr="00EA0A41">
        <w:rPr>
          <w:rFonts w:hint="eastAsia"/>
        </w:rPr>
        <w:t>:</w:t>
      </w:r>
    </w:p>
    <w:p w14:paraId="6C0C4B81" w14:textId="77777777" w:rsidR="008A2C71" w:rsidRDefault="008A2C71" w:rsidP="004829CE">
      <w:pPr>
        <w:pStyle w:val="BodyText"/>
        <w:numPr>
          <w:ilvl w:val="1"/>
          <w:numId w:val="14"/>
        </w:numPr>
      </w:pPr>
      <w:r w:rsidRPr="00EA0A41">
        <w:t xml:space="preserve">Channel access mechanism assuming </w:t>
      </w:r>
      <w:proofErr w:type="gramStart"/>
      <w:r w:rsidRPr="00EA0A41">
        <w:t>beam based</w:t>
      </w:r>
      <w:proofErr w:type="gramEnd"/>
      <w:r w:rsidRPr="00EA0A41">
        <w:t xml:space="preserve"> operation in order to comply with the regulatory requirements applicable to unlicensed spectrum for frequencies between 52.6GHz and 71GHz. </w:t>
      </w:r>
    </w:p>
    <w:p w14:paraId="084589D2" w14:textId="2BED3B39" w:rsidR="00C0485A" w:rsidRPr="00EA0A41" w:rsidRDefault="002B129B" w:rsidP="004F097B">
      <w:pPr>
        <w:pStyle w:val="BodyText"/>
      </w:pPr>
      <w:r>
        <w:t xml:space="preserve">In this contribution, we first discuss the </w:t>
      </w:r>
      <w:r w:rsidR="00D55AC6">
        <w:t xml:space="preserve">channelization design and </w:t>
      </w:r>
      <w:r>
        <w:t>selection of maximum channel bandwidth</w:t>
      </w:r>
      <w:r w:rsidR="00C01510">
        <w:t xml:space="preserve"> from regulatory</w:t>
      </w:r>
      <w:r w:rsidR="00DC402B">
        <w:t>,</w:t>
      </w:r>
      <w:r w:rsidR="00C01510">
        <w:t xml:space="preserve"> practical </w:t>
      </w:r>
      <w:r w:rsidR="00DC402B">
        <w:t xml:space="preserve">coexistence and </w:t>
      </w:r>
      <w:r w:rsidR="00C01510">
        <w:t>engineering point</w:t>
      </w:r>
      <w:r w:rsidR="00C6405E">
        <w:t>s</w:t>
      </w:r>
      <w:r w:rsidR="00C01510">
        <w:t xml:space="preserve"> of view.</w:t>
      </w:r>
      <w:r w:rsidR="00735A20">
        <w:t xml:space="preserve"> </w:t>
      </w:r>
      <w:r w:rsidR="00315925">
        <w:t xml:space="preserve">We then </w:t>
      </w:r>
      <w:r w:rsidR="007D77B0">
        <w:t xml:space="preserve">examine if the impact of different </w:t>
      </w:r>
      <w:r w:rsidR="00315925">
        <w:t>sub-carrier spacing</w:t>
      </w:r>
      <w:r w:rsidR="007D77B0">
        <w:t xml:space="preserve">s </w:t>
      </w:r>
      <w:r w:rsidR="004937AD">
        <w:t xml:space="preserve">on a diverse </w:t>
      </w:r>
      <w:r w:rsidR="005B354F">
        <w:t xml:space="preserve">range of </w:t>
      </w:r>
      <w:r w:rsidR="004937AD">
        <w:t>system aspect</w:t>
      </w:r>
      <w:r w:rsidR="005B354F">
        <w:t>s</w:t>
      </w:r>
      <w:r w:rsidR="00DD4718">
        <w:t xml:space="preserve">: (1) </w:t>
      </w:r>
      <w:r w:rsidR="002A1187">
        <w:t>coverage</w:t>
      </w:r>
      <w:r w:rsidR="00AF59CC">
        <w:t xml:space="preserve">, </w:t>
      </w:r>
      <w:r w:rsidR="00EB755D">
        <w:t xml:space="preserve">(2) cyclic prefix lengths and applicable environments, (3) phase noise modeling </w:t>
      </w:r>
      <w:r w:rsidR="00446209">
        <w:t xml:space="preserve">issues and </w:t>
      </w:r>
      <w:r w:rsidR="00DD4718">
        <w:t>p</w:t>
      </w:r>
      <w:r w:rsidR="005B354F">
        <w:t>hase noise handling with extensive link level evaluation results</w:t>
      </w:r>
      <w:r w:rsidR="00A22E25">
        <w:t>, (</w:t>
      </w:r>
      <w:r w:rsidR="003110FD">
        <w:t>4</w:t>
      </w:r>
      <w:r w:rsidR="00A22E25">
        <w:t>) f</w:t>
      </w:r>
      <w:r w:rsidR="005B354F">
        <w:t>requency and timing estimation tolerance issues</w:t>
      </w:r>
      <w:r w:rsidR="00A22E25">
        <w:t>, and (5) p</w:t>
      </w:r>
      <w:r w:rsidR="005B354F">
        <w:t>rocessing time issues</w:t>
      </w:r>
      <w:r w:rsidR="00A22E25">
        <w:t xml:space="preserve">. </w:t>
      </w:r>
      <w:r w:rsidR="0085722F">
        <w:t xml:space="preserve">Finally, we discuss </w:t>
      </w:r>
      <w:r w:rsidR="004430CA">
        <w:t>p</w:t>
      </w:r>
      <w:r w:rsidR="00457054">
        <w:t>otential enhancement</w:t>
      </w:r>
      <w:r w:rsidR="00AF0268">
        <w:t>s</w:t>
      </w:r>
      <w:r w:rsidR="00457054">
        <w:t xml:space="preserve"> </w:t>
      </w:r>
      <w:r w:rsidR="00AF0268">
        <w:t xml:space="preserve">that are </w:t>
      </w:r>
      <w:r w:rsidR="003A6A30">
        <w:t xml:space="preserve">beneficial </w:t>
      </w:r>
      <w:r w:rsidR="00AF0268">
        <w:t>to NR operation in 52.6 to 71 GHz.</w:t>
      </w:r>
    </w:p>
    <w:p w14:paraId="1A214E22" w14:textId="5697B082" w:rsidR="00644FEB" w:rsidRDefault="00644FEB" w:rsidP="00644FEB">
      <w:pPr>
        <w:pStyle w:val="Heading1"/>
      </w:pPr>
      <w:bookmarkStart w:id="7" w:name="_Toc46307391"/>
      <w:bookmarkStart w:id="8" w:name="_Toc47530169"/>
      <w:bookmarkStart w:id="9" w:name="_Toc53775884"/>
      <w:r>
        <w:t>2</w:t>
      </w:r>
      <w:r>
        <w:tab/>
      </w:r>
      <w:r w:rsidR="00DA787C">
        <w:t>Channel bandwidth</w:t>
      </w:r>
      <w:r w:rsidR="00DA787C" w:rsidDel="00DA787C">
        <w:t xml:space="preserve"> </w:t>
      </w:r>
      <w:r w:rsidR="00DA787C">
        <w:t>selection</w:t>
      </w:r>
      <w:bookmarkEnd w:id="7"/>
      <w:bookmarkEnd w:id="8"/>
      <w:r w:rsidR="001D2CDE">
        <w:t xml:space="preserve"> and </w:t>
      </w:r>
      <w:r w:rsidR="00FF371F">
        <w:t>c</w:t>
      </w:r>
      <w:r w:rsidR="001D2CDE">
        <w:t>hannelization</w:t>
      </w:r>
      <w:r w:rsidR="00FF371F">
        <w:t xml:space="preserve"> principle</w:t>
      </w:r>
      <w:bookmarkEnd w:id="9"/>
    </w:p>
    <w:p w14:paraId="6ACB7335" w14:textId="4CC867B7" w:rsidR="00553A2F" w:rsidRDefault="00553A2F" w:rsidP="00553A2F">
      <w:pPr>
        <w:pStyle w:val="Heading2"/>
      </w:pPr>
      <w:bookmarkStart w:id="10" w:name="_Toc53775885"/>
      <w:r>
        <w:t>2.1</w:t>
      </w:r>
      <w:r>
        <w:tab/>
        <w:t>NR channelization</w:t>
      </w:r>
      <w:r w:rsidR="00FB3319">
        <w:t xml:space="preserve"> principle</w:t>
      </w:r>
      <w:bookmarkEnd w:id="10"/>
    </w:p>
    <w:p w14:paraId="103DD3E5" w14:textId="7875AF3D" w:rsidR="001D2CDE" w:rsidRPr="003C2819" w:rsidRDefault="001D2CDE" w:rsidP="003C2819">
      <w:pPr>
        <w:rPr>
          <w:lang w:eastAsia="zh-CN"/>
        </w:rPr>
      </w:pPr>
      <w:r w:rsidRPr="003C2819">
        <w:rPr>
          <w:rFonts w:ascii="Arial" w:hAnsi="Arial"/>
          <w:lang w:eastAsia="zh-CN"/>
        </w:rPr>
        <w:t xml:space="preserve">The </w:t>
      </w:r>
      <w:r w:rsidR="00DA666A">
        <w:rPr>
          <w:rFonts w:ascii="Arial" w:hAnsi="Arial"/>
          <w:lang w:eastAsia="zh-CN"/>
        </w:rPr>
        <w:t>below</w:t>
      </w:r>
      <w:r>
        <w:rPr>
          <w:rFonts w:ascii="Arial" w:hAnsi="Arial"/>
          <w:lang w:eastAsia="zh-CN"/>
        </w:rPr>
        <w:t xml:space="preserve"> agreement was made in RAN1#102-e, and the issue of NR channelization </w:t>
      </w:r>
      <w:r w:rsidR="00DA666A">
        <w:rPr>
          <w:rFonts w:ascii="Arial" w:hAnsi="Arial"/>
          <w:lang w:eastAsia="zh-CN"/>
        </w:rPr>
        <w:t>has been</w:t>
      </w:r>
      <w:r>
        <w:rPr>
          <w:rFonts w:ascii="Arial" w:hAnsi="Arial"/>
          <w:lang w:eastAsia="zh-CN"/>
        </w:rPr>
        <w:t xml:space="preserve"> identified for further study. While a detailed band plan including channel raster, sync raster, precise spectral utilization, etc. is the purview of RAN4, here we discuss high level </w:t>
      </w:r>
      <w:r w:rsidR="004942D1">
        <w:rPr>
          <w:rFonts w:ascii="Arial" w:hAnsi="Arial"/>
          <w:lang w:eastAsia="zh-CN"/>
        </w:rPr>
        <w:t xml:space="preserve">principles for an NR channelization design and </w:t>
      </w:r>
      <w:r>
        <w:rPr>
          <w:rFonts w:ascii="Arial" w:hAnsi="Arial"/>
          <w:lang w:eastAsia="zh-CN"/>
        </w:rPr>
        <w:t>band plan since it is integral to the discussion of channel bandwidth, and thus impacts RAN1.</w:t>
      </w:r>
    </w:p>
    <w:p w14:paraId="41F668E2" w14:textId="5952CF6B" w:rsidR="00B1584C" w:rsidRDefault="000624A4">
      <w:pPr>
        <w:pStyle w:val="BodyText"/>
        <w:keepNext/>
      </w:pPr>
      <w:r>
        <w:rPr>
          <w:noProof/>
        </w:rPr>
        <w:lastRenderedPageBreak/>
        <mc:AlternateContent>
          <mc:Choice Requires="wps">
            <w:drawing>
              <wp:inline distT="0" distB="0" distL="0" distR="0" wp14:anchorId="7DCE4785" wp14:editId="6D9AB28C">
                <wp:extent cx="6105525" cy="2038350"/>
                <wp:effectExtent l="0" t="0" r="28575" b="19050"/>
                <wp:docPr id="12393409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5525" cy="2038350"/>
                        </a:xfrm>
                        <a:prstGeom prst="rect">
                          <a:avLst/>
                        </a:prstGeom>
                        <a:solidFill>
                          <a:srgbClr val="FFFFFF"/>
                        </a:solidFill>
                        <a:ln w="9525">
                          <a:solidFill>
                            <a:srgbClr val="000000"/>
                          </a:solidFill>
                          <a:miter lim="800000"/>
                          <a:headEnd/>
                          <a:tailEnd/>
                        </a:ln>
                      </wps:spPr>
                      <wps:txbx>
                        <w:txbxContent>
                          <w:p w14:paraId="72E754D1" w14:textId="77777777" w:rsidR="00BE31F7" w:rsidRPr="00A903FE" w:rsidRDefault="00BE31F7" w:rsidP="000624A4">
                            <w:pPr>
                              <w:spacing w:after="0"/>
                              <w:rPr>
                                <w:lang w:eastAsia="en-US"/>
                              </w:rPr>
                            </w:pPr>
                            <w:r w:rsidRPr="00A903FE">
                              <w:rPr>
                                <w:rFonts w:ascii="Times" w:eastAsia="Batang" w:hAnsi="Times"/>
                                <w:color w:val="181818"/>
                                <w:spacing w:val="-6"/>
                                <w:kern w:val="20"/>
                                <w:highlight w:val="green"/>
                                <w:lang w:eastAsia="en-US"/>
                              </w:rPr>
                              <w:t>Agreement</w:t>
                            </w:r>
                            <w:r w:rsidRPr="00A903FE">
                              <w:rPr>
                                <w:rFonts w:ascii="Times" w:eastAsia="Batang" w:hAnsi="Times"/>
                                <w:color w:val="181818"/>
                                <w:spacing w:val="-6"/>
                                <w:kern w:val="20"/>
                                <w:lang w:eastAsia="en-US"/>
                              </w:rPr>
                              <w:t>:</w:t>
                            </w:r>
                          </w:p>
                          <w:p w14:paraId="2FADC280" w14:textId="77777777" w:rsidR="00BE31F7" w:rsidRPr="00A903FE" w:rsidRDefault="00BE31F7" w:rsidP="000624A4">
                            <w:pPr>
                              <w:numPr>
                                <w:ilvl w:val="0"/>
                                <w:numId w:val="29"/>
                              </w:numPr>
                              <w:tabs>
                                <w:tab w:val="clear" w:pos="720"/>
                                <w:tab w:val="num" w:pos="-187"/>
                              </w:tabs>
                              <w:overflowPunct/>
                              <w:autoSpaceDE/>
                              <w:autoSpaceDN/>
                              <w:adjustRightInd/>
                              <w:spacing w:after="0" w:line="259" w:lineRule="auto"/>
                              <w:ind w:left="360"/>
                              <w:contextualSpacing/>
                              <w:textAlignment w:val="auto"/>
                              <w:rPr>
                                <w:color w:val="181818"/>
                                <w:lang w:eastAsia="en-US"/>
                              </w:rPr>
                            </w:pPr>
                            <w:r w:rsidRPr="00A903FE">
                              <w:rPr>
                                <w:rFonts w:ascii="Times" w:eastAsia="Batang" w:hAnsi="Times"/>
                                <w:color w:val="181818"/>
                                <w:spacing w:val="-6"/>
                                <w:kern w:val="20"/>
                                <w:lang w:eastAsia="en-US"/>
                              </w:rPr>
                              <w:t>Consider the study of at least the following aspects, including the justification for the features and their potential benefits, if applicable</w:t>
                            </w:r>
                          </w:p>
                          <w:p w14:paraId="380B639F" w14:textId="77777777" w:rsidR="00BE31F7" w:rsidRPr="00A903FE" w:rsidRDefault="00BE31F7" w:rsidP="000624A4">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System overhead impact from TDD switching time for larger subcarrier spacing</w:t>
                            </w:r>
                          </w:p>
                          <w:p w14:paraId="27F98A4D" w14:textId="77777777" w:rsidR="00BE31F7" w:rsidRPr="00A903FE" w:rsidRDefault="00BE31F7" w:rsidP="000624A4">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Coverage enhancement mechanisms for control channels and SSB, if larger SCS is supported</w:t>
                            </w:r>
                          </w:p>
                          <w:p w14:paraId="2B3B8703" w14:textId="77777777" w:rsidR="00BE31F7" w:rsidRPr="00A903FE" w:rsidRDefault="00BE31F7" w:rsidP="000624A4">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Any potential modifications to HARQ processes including number of processes, if supported</w:t>
                            </w:r>
                          </w:p>
                          <w:p w14:paraId="25B74C2B" w14:textId="77777777" w:rsidR="00BE31F7" w:rsidRPr="00A903FE" w:rsidRDefault="00BE31F7" w:rsidP="000624A4">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Impact from MAC buffering for larger subcarrier spacing, if any</w:t>
                            </w:r>
                          </w:p>
                          <w:p w14:paraId="03F1CB71" w14:textId="77777777" w:rsidR="00BE31F7" w:rsidRPr="00A903FE" w:rsidRDefault="00BE31F7" w:rsidP="000624A4">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highlight w:val="yellow"/>
                                <w:lang w:eastAsia="en-US"/>
                              </w:rPr>
                            </w:pPr>
                            <w:r w:rsidRPr="00A903FE">
                              <w:rPr>
                                <w:rFonts w:ascii="Times" w:eastAsia="Batang" w:hAnsi="Times"/>
                                <w:color w:val="181818"/>
                                <w:spacing w:val="-6"/>
                                <w:kern w:val="20"/>
                                <w:highlight w:val="yellow"/>
                                <w:lang w:eastAsia="en-US"/>
                              </w:rPr>
                              <w:t>NR channelization/sub-channelization and any potential impact from RAN1 perspective</w:t>
                            </w:r>
                          </w:p>
                          <w:p w14:paraId="6E165BE8" w14:textId="77777777" w:rsidR="00BE31F7" w:rsidRPr="00A903FE" w:rsidRDefault="00BE31F7" w:rsidP="000624A4">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Additional RF impairments that impact evaluations</w:t>
                            </w:r>
                          </w:p>
                          <w:p w14:paraId="6AD0B369" w14:textId="77777777" w:rsidR="00BE31F7" w:rsidRPr="00A903FE" w:rsidRDefault="00BE31F7" w:rsidP="000624A4">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Impact on BWP switching procedure due to new higher SCS, if supported</w:t>
                            </w:r>
                          </w:p>
                          <w:p w14:paraId="637FC525" w14:textId="77777777" w:rsidR="00BE31F7" w:rsidRPr="00A903FE" w:rsidRDefault="00BE31F7" w:rsidP="000624A4">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Support of rank 2 transmission for DFT-s-OFDM in the uplink</w:t>
                            </w:r>
                          </w:p>
                          <w:p w14:paraId="37BAFBFA" w14:textId="77777777" w:rsidR="00BE31F7" w:rsidRPr="00A903FE" w:rsidRDefault="00BE31F7" w:rsidP="000624A4">
                            <w:pPr>
                              <w:numPr>
                                <w:ilvl w:val="0"/>
                                <w:numId w:val="30"/>
                              </w:numPr>
                              <w:tabs>
                                <w:tab w:val="clear" w:pos="720"/>
                                <w:tab w:val="num" w:pos="-187"/>
                              </w:tabs>
                              <w:overflowPunct/>
                              <w:autoSpaceDE/>
                              <w:autoSpaceDN/>
                              <w:adjustRightInd/>
                              <w:spacing w:after="0" w:line="259" w:lineRule="auto"/>
                              <w:ind w:left="360"/>
                              <w:contextualSpacing/>
                              <w:textAlignment w:val="auto"/>
                              <w:rPr>
                                <w:color w:val="181818"/>
                                <w:lang w:eastAsia="en-US"/>
                              </w:rPr>
                            </w:pPr>
                            <w:r w:rsidRPr="00A903FE">
                              <w:rPr>
                                <w:rFonts w:ascii="Times" w:eastAsia="Batang" w:hAnsi="Times"/>
                                <w:color w:val="181818"/>
                                <w:spacing w:val="-6"/>
                                <w:kern w:val="20"/>
                                <w:lang w:eastAsia="en-US"/>
                              </w:rPr>
                              <w:t>Other aspects and impacts due to introduction of higher SCS are not precluded.</w:t>
                            </w:r>
                          </w:p>
                          <w:p w14:paraId="1B617000" w14:textId="77777777" w:rsidR="00BE31F7" w:rsidRDefault="00BE31F7" w:rsidP="000624A4"/>
                        </w:txbxContent>
                      </wps:txbx>
                      <wps:bodyPr rot="0" vert="horz" wrap="square" lIns="91440" tIns="45720" rIns="91440" bIns="45720" anchor="t" anchorCtr="0">
                        <a:noAutofit/>
                      </wps:bodyPr>
                    </wps:wsp>
                  </a:graphicData>
                </a:graphic>
              </wp:inline>
            </w:drawing>
          </mc:Choice>
          <mc:Fallback>
            <w:pict>
              <v:shapetype w14:anchorId="7DCE4785" id="_x0000_t202" coordsize="21600,21600" o:spt="202" path="m,l,21600r21600,l21600,xe">
                <v:stroke joinstyle="miter"/>
                <v:path gradientshapeok="t" o:connecttype="rect"/>
              </v:shapetype>
              <v:shape id="Text Box 2" o:spid="_x0000_s1026" type="#_x0000_t202" style="width:480.75pt;height:16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">
                <v:textbox>
                  <w:txbxContent>
                    <w:p w14:paraId="72E754D1" w14:textId="77777777" w:rsidR="00BE31F7" w:rsidRPr="00A903FE" w:rsidRDefault="00BE31F7" w:rsidP="000624A4">
                      <w:pPr>
                        <w:spacing w:after="0"/>
                        <w:rPr>
                          <w:lang w:eastAsia="en-US"/>
                        </w:rPr>
                      </w:pPr>
                      <w:r w:rsidRPr="00A903FE">
                        <w:rPr>
                          <w:rFonts w:ascii="Times" w:eastAsia="Batang" w:hAnsi="Times"/>
                          <w:color w:val="181818"/>
                          <w:spacing w:val="-6"/>
                          <w:kern w:val="20"/>
                          <w:highlight w:val="green"/>
                          <w:lang w:eastAsia="en-US"/>
                        </w:rPr>
                        <w:t>Agreement</w:t>
                      </w:r>
                      <w:r w:rsidRPr="00A903FE">
                        <w:rPr>
                          <w:rFonts w:ascii="Times" w:eastAsia="Batang" w:hAnsi="Times"/>
                          <w:color w:val="181818"/>
                          <w:spacing w:val="-6"/>
                          <w:kern w:val="20"/>
                          <w:lang w:eastAsia="en-US"/>
                        </w:rPr>
                        <w:t>:</w:t>
                      </w:r>
                    </w:p>
                    <w:p w14:paraId="2FADC280" w14:textId="77777777" w:rsidR="00BE31F7" w:rsidRPr="00A903FE" w:rsidRDefault="00BE31F7" w:rsidP="000624A4">
                      <w:pPr>
                        <w:numPr>
                          <w:ilvl w:val="0"/>
                          <w:numId w:val="29"/>
                        </w:numPr>
                        <w:tabs>
                          <w:tab w:val="clear" w:pos="720"/>
                          <w:tab w:val="num" w:pos="-187"/>
                        </w:tabs>
                        <w:overflowPunct/>
                        <w:autoSpaceDE/>
                        <w:autoSpaceDN/>
                        <w:adjustRightInd/>
                        <w:spacing w:after="0" w:line="259" w:lineRule="auto"/>
                        <w:ind w:left="360"/>
                        <w:contextualSpacing/>
                        <w:textAlignment w:val="auto"/>
                        <w:rPr>
                          <w:color w:val="181818"/>
                          <w:lang w:eastAsia="en-US"/>
                        </w:rPr>
                      </w:pPr>
                      <w:r w:rsidRPr="00A903FE">
                        <w:rPr>
                          <w:rFonts w:ascii="Times" w:eastAsia="Batang" w:hAnsi="Times"/>
                          <w:color w:val="181818"/>
                          <w:spacing w:val="-6"/>
                          <w:kern w:val="20"/>
                          <w:lang w:eastAsia="en-US"/>
                        </w:rPr>
                        <w:t>Consider the study of at least the following aspects, including the justification for the features and their potential benefits, if applicable</w:t>
                      </w:r>
                    </w:p>
                    <w:p w14:paraId="380B639F" w14:textId="77777777" w:rsidR="00BE31F7" w:rsidRPr="00A903FE" w:rsidRDefault="00BE31F7" w:rsidP="000624A4">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System overhead impact from TDD switching time for larger subcarrier spacing</w:t>
                      </w:r>
                    </w:p>
                    <w:p w14:paraId="27F98A4D" w14:textId="77777777" w:rsidR="00BE31F7" w:rsidRPr="00A903FE" w:rsidRDefault="00BE31F7" w:rsidP="000624A4">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Coverage enhancement mechanisms for control channels and SSB, if larger SCS is supported</w:t>
                      </w:r>
                    </w:p>
                    <w:p w14:paraId="2B3B8703" w14:textId="77777777" w:rsidR="00BE31F7" w:rsidRPr="00A903FE" w:rsidRDefault="00BE31F7" w:rsidP="000624A4">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Any potential modifications to HARQ processes including number of processes, if supported</w:t>
                      </w:r>
                    </w:p>
                    <w:p w14:paraId="25B74C2B" w14:textId="77777777" w:rsidR="00BE31F7" w:rsidRPr="00A903FE" w:rsidRDefault="00BE31F7" w:rsidP="000624A4">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Impact from MAC buffering for larger subcarrier spacing, if any</w:t>
                      </w:r>
                    </w:p>
                    <w:p w14:paraId="03F1CB71" w14:textId="77777777" w:rsidR="00BE31F7" w:rsidRPr="00A903FE" w:rsidRDefault="00BE31F7" w:rsidP="000624A4">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highlight w:val="yellow"/>
                          <w:lang w:eastAsia="en-US"/>
                        </w:rPr>
                      </w:pPr>
                      <w:r w:rsidRPr="00A903FE">
                        <w:rPr>
                          <w:rFonts w:ascii="Times" w:eastAsia="Batang" w:hAnsi="Times"/>
                          <w:color w:val="181818"/>
                          <w:spacing w:val="-6"/>
                          <w:kern w:val="20"/>
                          <w:highlight w:val="yellow"/>
                          <w:lang w:eastAsia="en-US"/>
                        </w:rPr>
                        <w:t>NR channelization/sub-channelization and any potential impact from RAN1 perspective</w:t>
                      </w:r>
                    </w:p>
                    <w:p w14:paraId="6E165BE8" w14:textId="77777777" w:rsidR="00BE31F7" w:rsidRPr="00A903FE" w:rsidRDefault="00BE31F7" w:rsidP="000624A4">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Additional RF impairments that impact evaluations</w:t>
                      </w:r>
                    </w:p>
                    <w:p w14:paraId="6AD0B369" w14:textId="77777777" w:rsidR="00BE31F7" w:rsidRPr="00A903FE" w:rsidRDefault="00BE31F7" w:rsidP="000624A4">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Impact on BWP switching procedure due to new higher SCS, if supported</w:t>
                      </w:r>
                    </w:p>
                    <w:p w14:paraId="637FC525" w14:textId="77777777" w:rsidR="00BE31F7" w:rsidRPr="00A903FE" w:rsidRDefault="00BE31F7" w:rsidP="000624A4">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Support of rank 2 transmission for DFT-s-OFDM in the uplink</w:t>
                      </w:r>
                    </w:p>
                    <w:p w14:paraId="37BAFBFA" w14:textId="77777777" w:rsidR="00BE31F7" w:rsidRPr="00A903FE" w:rsidRDefault="00BE31F7" w:rsidP="000624A4">
                      <w:pPr>
                        <w:numPr>
                          <w:ilvl w:val="0"/>
                          <w:numId w:val="30"/>
                        </w:numPr>
                        <w:tabs>
                          <w:tab w:val="clear" w:pos="720"/>
                          <w:tab w:val="num" w:pos="-187"/>
                        </w:tabs>
                        <w:overflowPunct/>
                        <w:autoSpaceDE/>
                        <w:autoSpaceDN/>
                        <w:adjustRightInd/>
                        <w:spacing w:after="0" w:line="259" w:lineRule="auto"/>
                        <w:ind w:left="360"/>
                        <w:contextualSpacing/>
                        <w:textAlignment w:val="auto"/>
                        <w:rPr>
                          <w:color w:val="181818"/>
                          <w:lang w:eastAsia="en-US"/>
                        </w:rPr>
                      </w:pPr>
                      <w:r w:rsidRPr="00A903FE">
                        <w:rPr>
                          <w:rFonts w:ascii="Times" w:eastAsia="Batang" w:hAnsi="Times"/>
                          <w:color w:val="181818"/>
                          <w:spacing w:val="-6"/>
                          <w:kern w:val="20"/>
                          <w:lang w:eastAsia="en-US"/>
                        </w:rPr>
                        <w:t>Other aspects and impacts due to introduction of higher SCS are not precluded.</w:t>
                      </w:r>
                    </w:p>
                    <w:p w14:paraId="1B617000" w14:textId="77777777" w:rsidR="00BE31F7" w:rsidRDefault="00BE31F7" w:rsidP="000624A4"/>
                  </w:txbxContent>
                </v:textbox>
                <w10:anchorlock/>
              </v:shape>
            </w:pict>
          </mc:Fallback>
        </mc:AlternateContent>
      </w:r>
    </w:p>
    <w:p w14:paraId="085D5683" w14:textId="1208D035" w:rsidR="00FA5D06" w:rsidRDefault="00FA5D06" w:rsidP="003C2819">
      <w:pPr>
        <w:pStyle w:val="BodyText"/>
        <w:keepNext/>
      </w:pPr>
      <w:r>
        <w:fldChar w:fldCharType="begin"/>
      </w:r>
      <w:r>
        <w:instrText xml:space="preserve"> REF _Ref53057845 \h  \* MERGEFORMAT </w:instrText>
      </w:r>
      <w:r>
        <w:fldChar w:fldCharType="separate"/>
      </w:r>
      <w:r w:rsidR="00BE31F7" w:rsidRPr="00BE31F7">
        <w:t>Figure 1</w:t>
      </w:r>
      <w:r>
        <w:fldChar w:fldCharType="end"/>
      </w:r>
      <w:r>
        <w:t xml:space="preserve"> illustrates</w:t>
      </w:r>
      <w:r w:rsidR="00EC6DAA">
        <w:t xml:space="preserve"> the spectrum allocations in the 14 GHz frequency range spanning 57 – 71 GHz in various regions around the world taken from Table </w:t>
      </w:r>
      <w:r w:rsidR="00EC6DAA" w:rsidRPr="00EC6DAA">
        <w:t>4.2.1-</w:t>
      </w:r>
      <w:r w:rsidR="00EC6DAA">
        <w:t xml:space="preserve">1 of </w:t>
      </w:r>
      <w:r w:rsidR="00EC6DAA">
        <w:fldChar w:fldCharType="begin"/>
      </w:r>
      <w:r w:rsidR="00EC6DAA">
        <w:instrText xml:space="preserve"> REF _Ref53058099 \r \h </w:instrText>
      </w:r>
      <w:r w:rsidR="00EC6DAA">
        <w:fldChar w:fldCharType="separate"/>
      </w:r>
      <w:r w:rsidR="00BE31F7">
        <w:t>[3]</w:t>
      </w:r>
      <w:r w:rsidR="00EC6DAA">
        <w:fldChar w:fldCharType="end"/>
      </w:r>
      <w:r w:rsidR="00465A48">
        <w:t xml:space="preserve"> with updates related to the IMT plan</w:t>
      </w:r>
      <w:r w:rsidR="004669A8">
        <w:t xml:space="preserve"> by CEPT</w:t>
      </w:r>
      <w:r w:rsidR="00EC6DAA">
        <w:t xml:space="preserve">. As can be seen, the regional frequency allocations consist of different subsets of </w:t>
      </w:r>
      <w:r w:rsidR="004942D1">
        <w:t>a</w:t>
      </w:r>
      <w:r w:rsidR="00EC6DAA">
        <w:t xml:space="preserve"> set of {2, 5, 2, 5} GHz blocks. The US and Europe/CEPT have the largest allocations – all 14 MHz allocated to unlicensed. Other regions have smaller allocations, with China having the smallest (5 GHz).</w:t>
      </w:r>
      <w:r w:rsidR="007407AB">
        <w:t xml:space="preserve"> A 5 GHz block allocated to IMT (licensed operation) in Europe is also defined from 66 – 71 GHz which overlaps with the upper part of the unlicensed allocation in Europe.</w:t>
      </w:r>
    </w:p>
    <w:p w14:paraId="679A14AE" w14:textId="77777777" w:rsidR="00FA5D06" w:rsidRDefault="00FA5D06" w:rsidP="00FA5D06">
      <w:pPr>
        <w:pStyle w:val="BodyText"/>
        <w:keepNext/>
        <w:ind w:left="-720"/>
      </w:pPr>
    </w:p>
    <w:p w14:paraId="6738994F" w14:textId="1CDACBCF" w:rsidR="00FA5D06" w:rsidRDefault="00FA5D06" w:rsidP="003C2819">
      <w:pPr>
        <w:pStyle w:val="BodyText"/>
        <w:keepNext/>
        <w:ind w:left="-720"/>
      </w:pPr>
      <w:r>
        <w:rPr>
          <w:noProof/>
        </w:rPr>
        <w:drawing>
          <wp:inline distT="0" distB="0" distL="0" distR="0" wp14:anchorId="0878A3B0" wp14:editId="7E490BFD">
            <wp:extent cx="6858000" cy="168249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58000" cy="1682496"/>
                    </a:xfrm>
                    <a:prstGeom prst="rect">
                      <a:avLst/>
                    </a:prstGeom>
                  </pic:spPr>
                </pic:pic>
              </a:graphicData>
            </a:graphic>
          </wp:inline>
        </w:drawing>
      </w:r>
    </w:p>
    <w:p w14:paraId="0ECB60CB" w14:textId="5E7E4474" w:rsidR="001D2CDE" w:rsidRPr="00E612C8" w:rsidRDefault="00FA5D06" w:rsidP="0058144E">
      <w:pPr>
        <w:pStyle w:val="Caption"/>
        <w:jc w:val="center"/>
        <w:rPr>
          <w:rFonts w:cs="Arial"/>
        </w:rPr>
      </w:pPr>
      <w:bookmarkStart w:id="11" w:name="_Ref53057845"/>
      <w:r w:rsidRPr="003C2819">
        <w:rPr>
          <w:rFonts w:ascii="Arial" w:hAnsi="Arial" w:cs="Arial"/>
        </w:rPr>
        <w:t xml:space="preserve">Figure </w:t>
      </w:r>
      <w:r>
        <w:rPr>
          <w:rFonts w:ascii="Arial" w:hAnsi="Arial" w:cs="Arial"/>
        </w:rPr>
        <w:fldChar w:fldCharType="begin"/>
      </w:r>
      <w:r w:rsidRPr="00E216C4">
        <w:rPr>
          <w:rFonts w:ascii="Arial" w:hAnsi="Arial" w:cs="Arial"/>
        </w:rPr>
        <w:instrText xml:space="preserve"> SEQ Figure \* ARABIC </w:instrText>
      </w:r>
      <w:r>
        <w:rPr>
          <w:rFonts w:ascii="Arial" w:hAnsi="Arial" w:cs="Arial"/>
        </w:rPr>
        <w:fldChar w:fldCharType="separate"/>
      </w:r>
      <w:r w:rsidR="00BE31F7">
        <w:rPr>
          <w:rFonts w:ascii="Arial" w:hAnsi="Arial" w:cs="Arial"/>
          <w:noProof/>
        </w:rPr>
        <w:t>1</w:t>
      </w:r>
      <w:r>
        <w:rPr>
          <w:rFonts w:ascii="Arial" w:hAnsi="Arial" w:cs="Arial"/>
        </w:rPr>
        <w:fldChar w:fldCharType="end"/>
      </w:r>
      <w:bookmarkEnd w:id="11"/>
      <w:r w:rsidRPr="003C2819">
        <w:rPr>
          <w:rFonts w:ascii="Arial" w:hAnsi="Arial" w:cs="Arial"/>
        </w:rPr>
        <w:t xml:space="preserve">: Regional frequency allocations from </w:t>
      </w:r>
      <w:r w:rsidRPr="003C2819">
        <w:rPr>
          <w:rFonts w:ascii="Arial" w:hAnsi="Arial" w:cs="Arial"/>
        </w:rPr>
        <w:fldChar w:fldCharType="begin"/>
      </w:r>
      <w:r w:rsidRPr="003C2819">
        <w:rPr>
          <w:rFonts w:ascii="Arial" w:hAnsi="Arial" w:cs="Arial"/>
        </w:rPr>
        <w:instrText xml:space="preserve"> REF _Ref53058099 \r \h </w:instrText>
      </w:r>
      <w:r w:rsidR="00E216C4">
        <w:rPr>
          <w:rFonts w:ascii="Arial" w:hAnsi="Arial" w:cs="Arial"/>
        </w:rPr>
        <w:instrText xml:space="preserve"> \* MERGEFORMAT </w:instrText>
      </w:r>
      <w:r w:rsidRPr="003C2819">
        <w:rPr>
          <w:rFonts w:ascii="Arial" w:hAnsi="Arial" w:cs="Arial"/>
        </w:rPr>
      </w:r>
      <w:r w:rsidRPr="003C2819">
        <w:rPr>
          <w:rFonts w:ascii="Arial" w:hAnsi="Arial" w:cs="Arial"/>
        </w:rPr>
        <w:fldChar w:fldCharType="separate"/>
      </w:r>
      <w:r w:rsidR="00BE31F7">
        <w:rPr>
          <w:rFonts w:ascii="Arial" w:hAnsi="Arial" w:cs="Arial"/>
        </w:rPr>
        <w:t>[3]</w:t>
      </w:r>
      <w:r w:rsidRPr="003C2819">
        <w:rPr>
          <w:rFonts w:ascii="Arial" w:hAnsi="Arial" w:cs="Arial"/>
        </w:rPr>
        <w:fldChar w:fldCharType="end"/>
      </w:r>
      <w:r w:rsidRPr="003C2819">
        <w:rPr>
          <w:rFonts w:ascii="Arial" w:hAnsi="Arial" w:cs="Arial"/>
        </w:rPr>
        <w:t xml:space="preserve"> and 802.11ad channelization</w:t>
      </w:r>
    </w:p>
    <w:p w14:paraId="7D136AAD" w14:textId="77777777" w:rsidR="00E216C4" w:rsidRDefault="00E216C4" w:rsidP="00DA787C">
      <w:pPr>
        <w:pStyle w:val="BodyText"/>
      </w:pPr>
    </w:p>
    <w:p w14:paraId="691FD654" w14:textId="31703541" w:rsidR="00FA5D06" w:rsidRDefault="004942D1" w:rsidP="00DA787C">
      <w:pPr>
        <w:pStyle w:val="BodyText"/>
      </w:pPr>
      <w:r>
        <w:t xml:space="preserve">Figure 1 also shows the </w:t>
      </w:r>
      <w:r w:rsidR="00B63779">
        <w:t xml:space="preserve">six 2.16 GHz channels defined by the IEEE 802.11ad standard. </w:t>
      </w:r>
      <w:r>
        <w:t>Evidently,</w:t>
      </w:r>
      <w:r w:rsidR="007407AB">
        <w:t xml:space="preserve"> if NR would happen to adopt the same 2.16 GHz channelization design as IEEE 802.11ad, a large wastage of spectrum would occur:</w:t>
      </w:r>
    </w:p>
    <w:p w14:paraId="7DFCEA3D" w14:textId="069AB38F" w:rsidR="007407AB" w:rsidRDefault="007407AB" w:rsidP="003C2819">
      <w:pPr>
        <w:pStyle w:val="BodyText"/>
        <w:numPr>
          <w:ilvl w:val="0"/>
          <w:numId w:val="28"/>
        </w:numPr>
        <w:spacing w:after="0"/>
      </w:pPr>
      <w:r>
        <w:t>240 MHz at the lower edge of the band is unused in all regions</w:t>
      </w:r>
    </w:p>
    <w:p w14:paraId="34872C2B" w14:textId="3BD5294E" w:rsidR="007407AB" w:rsidRDefault="007407AB" w:rsidP="003C2819">
      <w:pPr>
        <w:pStyle w:val="BodyText"/>
        <w:numPr>
          <w:ilvl w:val="0"/>
          <w:numId w:val="28"/>
        </w:numPr>
        <w:spacing w:after="0"/>
      </w:pPr>
      <w:r>
        <w:t>800 MHz at the upper edge of the band is unused in USA and Europe</w:t>
      </w:r>
    </w:p>
    <w:p w14:paraId="7B9E79BD" w14:textId="61CCD801" w:rsidR="007407AB" w:rsidRDefault="007407AB">
      <w:pPr>
        <w:pStyle w:val="BodyText"/>
        <w:numPr>
          <w:ilvl w:val="0"/>
          <w:numId w:val="28"/>
        </w:numPr>
        <w:spacing w:after="0"/>
      </w:pPr>
      <w:r>
        <w:t>680 MHz of the 5 GHz allocation in China is unused</w:t>
      </w:r>
    </w:p>
    <w:p w14:paraId="2018D543" w14:textId="1BA84F6C" w:rsidR="0032490F" w:rsidRDefault="0032490F" w:rsidP="003C2819">
      <w:pPr>
        <w:pStyle w:val="BodyText"/>
        <w:numPr>
          <w:ilvl w:val="1"/>
          <w:numId w:val="28"/>
        </w:numPr>
        <w:spacing w:after="0"/>
      </w:pPr>
      <w:r>
        <w:t xml:space="preserve">In recognizing the need to have at least three channels for cell planning </w:t>
      </w:r>
      <w:r>
        <w:fldChar w:fldCharType="begin"/>
      </w:r>
      <w:r>
        <w:instrText xml:space="preserve"> REF _Ref53119110 \r \h </w:instrText>
      </w:r>
      <w:r>
        <w:fldChar w:fldCharType="separate"/>
      </w:r>
      <w:r w:rsidR="00BE31F7">
        <w:t>[22]</w:t>
      </w:r>
      <w:r>
        <w:fldChar w:fldCharType="end"/>
      </w:r>
      <w:r>
        <w:t>, IEEE 802.11aj standard defined four 1.08 GHz channels nested within the two 2.16 GHz channels for the 60 GHz band in China.</w:t>
      </w:r>
      <w:r w:rsidR="00723FBF">
        <w:t xml:space="preserve"> </w:t>
      </w:r>
      <w:r w:rsidR="00323801">
        <w:t>As a result, t</w:t>
      </w:r>
      <w:r w:rsidR="002F06B8">
        <w:t xml:space="preserve">he spectrum </w:t>
      </w:r>
      <w:r w:rsidR="0077697B">
        <w:t>wast</w:t>
      </w:r>
      <w:r w:rsidR="002E280A">
        <w:t xml:space="preserve">age </w:t>
      </w:r>
      <w:r w:rsidR="006F5E6B">
        <w:t xml:space="preserve">issues </w:t>
      </w:r>
      <w:r w:rsidR="00E612C8">
        <w:t>are</w:t>
      </w:r>
      <w:r w:rsidR="006F5E6B">
        <w:t xml:space="preserve"> </w:t>
      </w:r>
      <w:r w:rsidR="002E67CC">
        <w:t xml:space="preserve">left unaddressed in </w:t>
      </w:r>
      <w:r w:rsidR="00226062">
        <w:t xml:space="preserve">the 802.11aj </w:t>
      </w:r>
      <w:r w:rsidR="008E0A42">
        <w:t>channelization</w:t>
      </w:r>
      <w:r w:rsidR="00226062">
        <w:t>.</w:t>
      </w:r>
    </w:p>
    <w:p w14:paraId="0A879953" w14:textId="7E9EC646" w:rsidR="007407AB" w:rsidRDefault="007407AB" w:rsidP="003C2819">
      <w:pPr>
        <w:pStyle w:val="BodyText"/>
        <w:numPr>
          <w:ilvl w:val="0"/>
          <w:numId w:val="28"/>
        </w:numPr>
        <w:spacing w:after="0"/>
      </w:pPr>
      <w:r>
        <w:t>280 MHz of the 7 GHz allocation in Canada/Brazil/Mexico is unused</w:t>
      </w:r>
    </w:p>
    <w:p w14:paraId="2C297A2C" w14:textId="24A49A61" w:rsidR="007407AB" w:rsidRDefault="007407AB" w:rsidP="009230C3">
      <w:pPr>
        <w:pStyle w:val="BodyText"/>
        <w:numPr>
          <w:ilvl w:val="0"/>
          <w:numId w:val="28"/>
        </w:numPr>
      </w:pPr>
      <w:r>
        <w:t>In the IMT (licensed) allocation in Europe</w:t>
      </w:r>
      <w:r w:rsidR="003176E8">
        <w:t>, one out of the 2 available 2.16 GHz channels is unusable since it extends outside the IMT allocation</w:t>
      </w:r>
    </w:p>
    <w:p w14:paraId="603BD965" w14:textId="77777777" w:rsidR="00F1565A" w:rsidRDefault="00F1565A" w:rsidP="00B6770B">
      <w:pPr>
        <w:pStyle w:val="BodyText"/>
      </w:pPr>
    </w:p>
    <w:p w14:paraId="5E71E1C9" w14:textId="751BC63D" w:rsidR="00635028" w:rsidRDefault="00635028" w:rsidP="00635028">
      <w:pPr>
        <w:pStyle w:val="Proposal"/>
      </w:pPr>
      <w:bookmarkStart w:id="12" w:name="_Toc53776182"/>
      <w:r>
        <w:t xml:space="preserve">Capture the following observation in TR 38.808. </w:t>
      </w:r>
      <w:r w:rsidRPr="00F74B15">
        <w:t xml:space="preserve">If NR adopts the same channelization design as </w:t>
      </w:r>
      <w:r>
        <w:t xml:space="preserve">IEEE </w:t>
      </w:r>
      <w:r w:rsidRPr="00F74B15">
        <w:t>802.11ad/ay, large wastage of spectrum would occur in many regions</w:t>
      </w:r>
      <w:r>
        <w:t>.</w:t>
      </w:r>
      <w:bookmarkEnd w:id="12"/>
    </w:p>
    <w:p w14:paraId="42281198" w14:textId="77777777" w:rsidR="00F1565A" w:rsidRDefault="00F1565A" w:rsidP="00B6770B">
      <w:pPr>
        <w:pStyle w:val="BodyText"/>
      </w:pPr>
    </w:p>
    <w:p w14:paraId="3FDAA10B" w14:textId="00734F44" w:rsidR="00B6770B" w:rsidRDefault="003176E8" w:rsidP="00B6770B">
      <w:pPr>
        <w:pStyle w:val="BodyText"/>
      </w:pPr>
      <w:r>
        <w:t>Here we consider a</w:t>
      </w:r>
      <w:r w:rsidR="00505DC9">
        <w:t xml:space="preserve">n </w:t>
      </w:r>
      <w:r w:rsidR="554111BA">
        <w:t>alternate</w:t>
      </w:r>
      <w:r w:rsidR="22F5FCDC">
        <w:t xml:space="preserve"> proposal for a</w:t>
      </w:r>
      <w:r>
        <w:t xml:space="preserve"> band plan that is much better aligned to the regional frequency allocations</w:t>
      </w:r>
      <w:r w:rsidR="00505DC9">
        <w:t xml:space="preserve">. </w:t>
      </w:r>
      <w:r>
        <w:t xml:space="preserve"> The starting point of the band plan is to sub-divide the smallest regional allocation</w:t>
      </w:r>
      <w:r w:rsidR="004942D1">
        <w:t>s</w:t>
      </w:r>
      <w:r>
        <w:t xml:space="preserve"> (China, IMT in Europe) into 3 nominal 1.6 GHz channels in order to make full use of those allocations. The nominal 1.6 </w:t>
      </w:r>
      <w:r>
        <w:lastRenderedPageBreak/>
        <w:t xml:space="preserve">GHz channels are further sub-divided into nominal 800 and 400 MHz channels. </w:t>
      </w:r>
      <w:r w:rsidR="00505DC9">
        <w:t>We show that the resulting channel spacing for all channel bandwidths fully utilizes the 14 GHz of available spectrum.</w:t>
      </w:r>
      <w:r w:rsidR="004C7589">
        <w:t xml:space="preserve"> </w:t>
      </w:r>
      <w:r w:rsidR="00B6770B">
        <w:t>We point out that it may be beneficial to consider minimum channel bandwidth less than 400 MHz, particularly for the IMT allocation in Europe, where it is not clear what size spectrum blocks will be available for license</w:t>
      </w:r>
      <w:r w:rsidR="12C6FF49">
        <w:t>d operation</w:t>
      </w:r>
      <w:r w:rsidR="00B6770B">
        <w:t>.</w:t>
      </w:r>
    </w:p>
    <w:p w14:paraId="27F6B423" w14:textId="1A62D571" w:rsidR="001436AE" w:rsidRDefault="00D07DEC" w:rsidP="003176E8">
      <w:pPr>
        <w:pStyle w:val="BodyText"/>
      </w:pPr>
      <w:r>
        <w:t xml:space="preserve">In the </w:t>
      </w:r>
      <w:r w:rsidR="119F9966">
        <w:t>proposed</w:t>
      </w:r>
      <w:r>
        <w:t xml:space="preserve"> band plan, we assume 480 kHz SCS and the 5 GHz band in China/Europe (IMT) </w:t>
      </w:r>
      <w:r w:rsidR="004942D1">
        <w:t xml:space="preserve">is divided </w:t>
      </w:r>
      <w:r>
        <w:t xml:space="preserve">into 3/6/12 </w:t>
      </w:r>
      <w:r w:rsidRPr="003C2819">
        <w:rPr>
          <w:i/>
          <w:iCs/>
        </w:rPr>
        <w:t>nominal</w:t>
      </w:r>
      <w:r>
        <w:t xml:space="preserve"> 1600/800/400 MHz channels that are nested. This results in </w:t>
      </w:r>
      <w:r w:rsidR="00FA6697">
        <w:t xml:space="preserve">the actual channel bandwidths 4*B / 2*B / B where B = 408.96 </w:t>
      </w:r>
      <w:proofErr w:type="spellStart"/>
      <w:r w:rsidR="00FA6697">
        <w:t>MHz.</w:t>
      </w:r>
      <w:proofErr w:type="spellEnd"/>
      <w:r w:rsidR="00FA6697">
        <w:t xml:space="preserve"> </w:t>
      </w:r>
      <w:r w:rsidR="001436AE" w:rsidRPr="00A84D00">
        <w:fldChar w:fldCharType="begin"/>
      </w:r>
      <w:r w:rsidR="001436AE" w:rsidRPr="004942D1">
        <w:instrText xml:space="preserve"> REF _Ref53062284 \h </w:instrText>
      </w:r>
      <w:r w:rsidR="004942D1" w:rsidRPr="003C2819">
        <w:instrText xml:space="preserve"> \* MERGEFORMAT </w:instrText>
      </w:r>
      <w:r w:rsidR="001436AE" w:rsidRPr="00A84D00">
        <w:fldChar w:fldCharType="separate"/>
      </w:r>
      <w:r w:rsidR="00BE31F7" w:rsidRPr="003C2819">
        <w:rPr>
          <w:rFonts w:cs="Arial"/>
        </w:rPr>
        <w:t xml:space="preserve">Figure </w:t>
      </w:r>
      <w:r w:rsidR="00BE31F7">
        <w:rPr>
          <w:rFonts w:cs="Arial"/>
        </w:rPr>
        <w:t>2</w:t>
      </w:r>
      <w:r w:rsidR="001436AE" w:rsidRPr="00A84D00">
        <w:fldChar w:fldCharType="end"/>
      </w:r>
      <w:r w:rsidR="001436AE">
        <w:t xml:space="preserve"> shows the </w:t>
      </w:r>
      <w:r w:rsidR="4F5ADB41">
        <w:t>proposed</w:t>
      </w:r>
      <w:r w:rsidR="001436AE">
        <w:t xml:space="preserve"> band plan that fully utilizes the frequency allocations in all regions</w:t>
      </w:r>
      <w:r w:rsidR="00CE770E">
        <w:t>. The number of nominal 1600/800/400 MHz channels in the regions are given by the following:</w:t>
      </w:r>
    </w:p>
    <w:p w14:paraId="23F8DB81" w14:textId="35FEDF77" w:rsidR="008717BF" w:rsidRPr="004F69A1" w:rsidRDefault="008717BF" w:rsidP="00917EE6">
      <w:pPr>
        <w:pStyle w:val="Caption"/>
        <w:jc w:val="center"/>
        <w:rPr>
          <w:rFonts w:ascii="Arial" w:hAnsi="Arial" w:cs="Arial"/>
        </w:rPr>
      </w:pPr>
      <w:r w:rsidRPr="004F69A1">
        <w:rPr>
          <w:rFonts w:ascii="Arial" w:hAnsi="Arial" w:cs="Arial"/>
        </w:rPr>
        <w:t xml:space="preserve">Table </w:t>
      </w:r>
      <w:r w:rsidRPr="004F69A1">
        <w:rPr>
          <w:rFonts w:ascii="Arial" w:hAnsi="Arial" w:cs="Arial"/>
        </w:rPr>
        <w:fldChar w:fldCharType="begin"/>
      </w:r>
      <w:r w:rsidRPr="004F69A1">
        <w:rPr>
          <w:rFonts w:ascii="Arial" w:hAnsi="Arial" w:cs="Arial"/>
        </w:rPr>
        <w:instrText xml:space="preserve"> SEQ Table \* ARABIC </w:instrText>
      </w:r>
      <w:r w:rsidRPr="004F69A1">
        <w:rPr>
          <w:rFonts w:ascii="Arial" w:hAnsi="Arial" w:cs="Arial"/>
        </w:rPr>
        <w:fldChar w:fldCharType="separate"/>
      </w:r>
      <w:r w:rsidR="00BE31F7">
        <w:rPr>
          <w:rFonts w:ascii="Arial" w:hAnsi="Arial" w:cs="Arial"/>
          <w:noProof/>
        </w:rPr>
        <w:t>1</w:t>
      </w:r>
      <w:r w:rsidRPr="004F69A1">
        <w:rPr>
          <w:rFonts w:ascii="Arial" w:hAnsi="Arial" w:cs="Arial"/>
        </w:rPr>
        <w:fldChar w:fldCharType="end"/>
      </w:r>
      <w:r w:rsidRPr="004F69A1">
        <w:rPr>
          <w:rFonts w:ascii="Arial" w:hAnsi="Arial" w:cs="Arial"/>
        </w:rPr>
        <w:t xml:space="preserve">: Number of </w:t>
      </w:r>
      <w:r w:rsidR="00017022">
        <w:rPr>
          <w:rFonts w:ascii="Arial" w:hAnsi="Arial" w:cs="Arial"/>
        </w:rPr>
        <w:t xml:space="preserve">1600 / 800 / 400 MHz </w:t>
      </w:r>
      <w:r w:rsidRPr="004F69A1">
        <w:rPr>
          <w:rFonts w:ascii="Arial" w:hAnsi="Arial" w:cs="Arial"/>
        </w:rPr>
        <w:t xml:space="preserve">nominal channels per region in proposed example NR band plan in in </w:t>
      </w:r>
      <w:r w:rsidRPr="004F69A1">
        <w:rPr>
          <w:rFonts w:ascii="Arial" w:hAnsi="Arial" w:cs="Arial"/>
        </w:rPr>
        <w:fldChar w:fldCharType="begin"/>
      </w:r>
      <w:r w:rsidRPr="004F69A1">
        <w:rPr>
          <w:rFonts w:ascii="Arial" w:hAnsi="Arial" w:cs="Arial"/>
        </w:rPr>
        <w:instrText xml:space="preserve"> REF _Ref53062284 \h </w:instrText>
      </w:r>
      <w:r w:rsidR="00FD5BD3">
        <w:rPr>
          <w:rFonts w:ascii="Arial" w:hAnsi="Arial" w:cs="Arial"/>
        </w:rPr>
        <w:instrText xml:space="preserve"> \* MERGEFORMAT </w:instrText>
      </w:r>
      <w:r w:rsidRPr="00B04ED4">
        <w:rPr>
          <w:rFonts w:ascii="Arial" w:hAnsi="Arial" w:cs="Arial"/>
        </w:rPr>
      </w:r>
      <w:r w:rsidRPr="004F69A1">
        <w:rPr>
          <w:rFonts w:ascii="Arial" w:hAnsi="Arial" w:cs="Arial"/>
        </w:rPr>
        <w:fldChar w:fldCharType="separate"/>
      </w:r>
      <w:r w:rsidR="00BE31F7" w:rsidRPr="003C2819">
        <w:rPr>
          <w:rFonts w:ascii="Arial" w:hAnsi="Arial" w:cs="Arial"/>
        </w:rPr>
        <w:t xml:space="preserve">Figure </w:t>
      </w:r>
      <w:r w:rsidR="00BE31F7">
        <w:rPr>
          <w:rFonts w:ascii="Arial" w:hAnsi="Arial" w:cs="Arial"/>
        </w:rPr>
        <w:t>2</w:t>
      </w:r>
      <w:r w:rsidRPr="004F69A1">
        <w:rPr>
          <w:rFonts w:ascii="Arial" w:hAnsi="Arial" w:cs="Arial"/>
        </w:rPr>
        <w:fldChar w:fldCharType="end"/>
      </w:r>
    </w:p>
    <w:tbl>
      <w:tblPr>
        <w:tblStyle w:val="TableGrid"/>
        <w:tblW w:w="0" w:type="auto"/>
        <w:jc w:val="center"/>
        <w:tblLook w:val="04A0" w:firstRow="1" w:lastRow="0" w:firstColumn="1" w:lastColumn="0" w:noHBand="0" w:noVBand="1"/>
      </w:tblPr>
      <w:tblGrid>
        <w:gridCol w:w="5305"/>
        <w:gridCol w:w="2070"/>
      </w:tblGrid>
      <w:tr w:rsidR="00017022" w14:paraId="1A6236CC" w14:textId="77777777" w:rsidTr="004F69A1">
        <w:trPr>
          <w:jc w:val="center"/>
        </w:trPr>
        <w:tc>
          <w:tcPr>
            <w:tcW w:w="5305" w:type="dxa"/>
          </w:tcPr>
          <w:p w14:paraId="1637E62A" w14:textId="20B10EA8" w:rsidR="00017022" w:rsidRPr="003C2819" w:rsidRDefault="00017022" w:rsidP="003C2819">
            <w:pPr>
              <w:pStyle w:val="BodyText"/>
              <w:jc w:val="left"/>
              <w:rPr>
                <w:b/>
                <w:bCs/>
              </w:rPr>
            </w:pPr>
            <w:r w:rsidRPr="003C2819">
              <w:rPr>
                <w:b/>
                <w:bCs/>
              </w:rPr>
              <w:t>Region</w:t>
            </w:r>
          </w:p>
        </w:tc>
        <w:tc>
          <w:tcPr>
            <w:tcW w:w="2070" w:type="dxa"/>
          </w:tcPr>
          <w:p w14:paraId="7985920D" w14:textId="068B0B77" w:rsidR="00017022" w:rsidRPr="003C2819" w:rsidRDefault="00017022" w:rsidP="003C2819">
            <w:pPr>
              <w:pStyle w:val="BodyText"/>
              <w:jc w:val="center"/>
              <w:rPr>
                <w:b/>
                <w:lang w:val="en-US"/>
              </w:rPr>
            </w:pPr>
            <w:r w:rsidRPr="003C2819">
              <w:rPr>
                <w:b/>
                <w:bCs/>
              </w:rPr>
              <w:t xml:space="preserve">Number of </w:t>
            </w:r>
            <w:r w:rsidR="00506351">
              <w:rPr>
                <w:b/>
                <w:bCs/>
              </w:rPr>
              <w:t xml:space="preserve">available </w:t>
            </w:r>
            <w:r w:rsidRPr="003C2819">
              <w:rPr>
                <w:b/>
                <w:bCs/>
              </w:rPr>
              <w:t>channels</w:t>
            </w:r>
          </w:p>
        </w:tc>
      </w:tr>
      <w:tr w:rsidR="00017022" w14:paraId="2344A918" w14:textId="77777777" w:rsidTr="004F69A1">
        <w:trPr>
          <w:jc w:val="center"/>
        </w:trPr>
        <w:tc>
          <w:tcPr>
            <w:tcW w:w="5305" w:type="dxa"/>
          </w:tcPr>
          <w:p w14:paraId="44DCF98A" w14:textId="581C3AF0" w:rsidR="00017022" w:rsidRPr="003C2819" w:rsidRDefault="00017022" w:rsidP="003176E8">
            <w:pPr>
              <w:pStyle w:val="BodyText"/>
              <w:rPr>
                <w:lang w:val="en-US"/>
              </w:rPr>
            </w:pPr>
            <w:r w:rsidRPr="00CE770E">
              <w:t>China and IMT allocation in Europe</w:t>
            </w:r>
          </w:p>
        </w:tc>
        <w:tc>
          <w:tcPr>
            <w:tcW w:w="2070" w:type="dxa"/>
          </w:tcPr>
          <w:p w14:paraId="6C5DFD45" w14:textId="35ACBB38" w:rsidR="00017022" w:rsidRDefault="00017022" w:rsidP="003C2819">
            <w:pPr>
              <w:pStyle w:val="BodyText"/>
              <w:jc w:val="center"/>
            </w:pPr>
            <w:r w:rsidRPr="00CE770E">
              <w:t>3/6/12</w:t>
            </w:r>
          </w:p>
        </w:tc>
      </w:tr>
      <w:tr w:rsidR="00017022" w14:paraId="74C90C1E" w14:textId="77777777" w:rsidTr="004F69A1">
        <w:trPr>
          <w:jc w:val="center"/>
        </w:trPr>
        <w:tc>
          <w:tcPr>
            <w:tcW w:w="5305" w:type="dxa"/>
          </w:tcPr>
          <w:p w14:paraId="1C17B518" w14:textId="46943E21" w:rsidR="00017022" w:rsidRPr="003C2819" w:rsidRDefault="00017022" w:rsidP="003176E8">
            <w:pPr>
              <w:pStyle w:val="BodyText"/>
              <w:rPr>
                <w:lang w:val="en-US"/>
              </w:rPr>
            </w:pPr>
            <w:r w:rsidRPr="00CE770E">
              <w:t>US and unlicensed allocation in Europ</w:t>
            </w:r>
            <w:r>
              <w:t>e</w:t>
            </w:r>
          </w:p>
        </w:tc>
        <w:tc>
          <w:tcPr>
            <w:tcW w:w="2070" w:type="dxa"/>
          </w:tcPr>
          <w:p w14:paraId="548B161C" w14:textId="4BB3510E" w:rsidR="00017022" w:rsidRDefault="00017022" w:rsidP="003C2819">
            <w:pPr>
              <w:pStyle w:val="BodyText"/>
              <w:jc w:val="center"/>
            </w:pPr>
            <w:r w:rsidRPr="00CE770E">
              <w:t>8/16/32</w:t>
            </w:r>
          </w:p>
        </w:tc>
      </w:tr>
      <w:tr w:rsidR="00017022" w14:paraId="4005AE66" w14:textId="77777777" w:rsidTr="004F69A1">
        <w:trPr>
          <w:jc w:val="center"/>
        </w:trPr>
        <w:tc>
          <w:tcPr>
            <w:tcW w:w="5305" w:type="dxa"/>
          </w:tcPr>
          <w:p w14:paraId="5FE2D5B4" w14:textId="48910008" w:rsidR="00017022" w:rsidRDefault="00017022" w:rsidP="003176E8">
            <w:pPr>
              <w:pStyle w:val="BodyText"/>
            </w:pPr>
            <w:r w:rsidRPr="00CE770E">
              <w:t>Canada, Brazil, Mexico</w:t>
            </w:r>
          </w:p>
        </w:tc>
        <w:tc>
          <w:tcPr>
            <w:tcW w:w="2070" w:type="dxa"/>
          </w:tcPr>
          <w:p w14:paraId="1C2D4F82" w14:textId="1F438D07" w:rsidR="00017022" w:rsidRDefault="00017022" w:rsidP="003C2819">
            <w:pPr>
              <w:pStyle w:val="BodyText"/>
              <w:jc w:val="center"/>
            </w:pPr>
            <w:r w:rsidRPr="00CE770E">
              <w:t>4/8/1</w:t>
            </w:r>
            <w:r w:rsidR="00082D57">
              <w:t>7</w:t>
            </w:r>
          </w:p>
        </w:tc>
      </w:tr>
      <w:tr w:rsidR="00017022" w14:paraId="4ED54A61" w14:textId="77777777" w:rsidTr="004F69A1">
        <w:trPr>
          <w:jc w:val="center"/>
        </w:trPr>
        <w:tc>
          <w:tcPr>
            <w:tcW w:w="5305" w:type="dxa"/>
          </w:tcPr>
          <w:p w14:paraId="3500628F" w14:textId="59DAE34E" w:rsidR="00017022" w:rsidRPr="003C2819" w:rsidRDefault="00017022" w:rsidP="003176E8">
            <w:pPr>
              <w:pStyle w:val="BodyText"/>
              <w:rPr>
                <w:lang w:val="en-US"/>
              </w:rPr>
            </w:pPr>
            <w:r w:rsidRPr="00CE770E">
              <w:t>South Africa, Japan, Korea, Taiwan, Singapore, Australia</w:t>
            </w:r>
          </w:p>
        </w:tc>
        <w:tc>
          <w:tcPr>
            <w:tcW w:w="2070" w:type="dxa"/>
          </w:tcPr>
          <w:p w14:paraId="6AD1EA2E" w14:textId="7D86133D" w:rsidR="00017022" w:rsidRDefault="00017022" w:rsidP="003C2819">
            <w:pPr>
              <w:pStyle w:val="BodyText"/>
              <w:jc w:val="center"/>
            </w:pPr>
            <w:r w:rsidRPr="00CE770E">
              <w:t>5/10/2</w:t>
            </w:r>
            <w:r w:rsidR="00082D57">
              <w:t>2</w:t>
            </w:r>
          </w:p>
        </w:tc>
      </w:tr>
    </w:tbl>
    <w:p w14:paraId="3F575334" w14:textId="77777777" w:rsidR="00CE770E" w:rsidRDefault="00CE770E" w:rsidP="003176E8">
      <w:pPr>
        <w:pStyle w:val="BodyText"/>
      </w:pPr>
    </w:p>
    <w:p w14:paraId="08DD156A" w14:textId="3A94E857" w:rsidR="000D4489" w:rsidRDefault="000D4489" w:rsidP="000D4489">
      <w:pPr>
        <w:pStyle w:val="BodyText"/>
      </w:pPr>
      <w:r>
        <w:t xml:space="preserve">It is of interest to compare this to the IEEE 802.11aj standard (adaptation of 802.11ad for </w:t>
      </w:r>
      <w:proofErr w:type="spellStart"/>
      <w:r>
        <w:t>mmWave</w:t>
      </w:r>
      <w:proofErr w:type="spellEnd"/>
      <w:r>
        <w:t xml:space="preserve"> in China). For .11aj, the goal was to increase the number of channels from only two 2.16 GHz channels to four 1.08 GHz channels; however, those 4 channels are still constrained to be nested within the two 2.16 GHz channels, thus the wastage of 680 MHz of spectrum in China is still present. The </w:t>
      </w:r>
      <w:r w:rsidR="27A41D0B">
        <w:t>proposed</w:t>
      </w:r>
      <w:r>
        <w:t xml:space="preserve"> NR band plan in </w:t>
      </w:r>
      <w:r w:rsidRPr="00A84D00">
        <w:fldChar w:fldCharType="begin"/>
      </w:r>
      <w:r w:rsidRPr="00D860B5">
        <w:instrText xml:space="preserve"> REF _Ref53062284 \h </w:instrText>
      </w:r>
      <w:r w:rsidR="00D860B5" w:rsidRPr="003C2819">
        <w:instrText xml:space="preserve"> \* MERGEFORMAT </w:instrText>
      </w:r>
      <w:r w:rsidRPr="00A84D00">
        <w:fldChar w:fldCharType="separate"/>
      </w:r>
      <w:r w:rsidR="00BE31F7" w:rsidRPr="003C2819">
        <w:rPr>
          <w:rFonts w:cs="Arial"/>
        </w:rPr>
        <w:t xml:space="preserve">Figure </w:t>
      </w:r>
      <w:r w:rsidR="00BE31F7">
        <w:rPr>
          <w:rFonts w:cs="Arial"/>
        </w:rPr>
        <w:t>2</w:t>
      </w:r>
      <w:r w:rsidRPr="00A84D00">
        <w:fldChar w:fldCharType="end"/>
      </w:r>
      <w:r>
        <w:t xml:space="preserve"> also increases the number of available channels, but makes almost full use of the available 5 GHz allocation.</w:t>
      </w:r>
    </w:p>
    <w:p w14:paraId="443EA062" w14:textId="77777777" w:rsidR="00E54F26" w:rsidRDefault="00E54F26" w:rsidP="000D4489">
      <w:pPr>
        <w:pStyle w:val="BodyText"/>
      </w:pPr>
    </w:p>
    <w:p w14:paraId="373944C0" w14:textId="0F20D6ED" w:rsidR="001436AE" w:rsidRDefault="3687CD6D" w:rsidP="003C2819">
      <w:pPr>
        <w:pStyle w:val="BodyText"/>
        <w:keepNext/>
        <w:ind w:left="-720"/>
      </w:pPr>
      <w:r>
        <w:rPr>
          <w:noProof/>
        </w:rPr>
        <w:drawing>
          <wp:inline distT="0" distB="0" distL="0" distR="0" wp14:anchorId="632EE38B" wp14:editId="160EA82E">
            <wp:extent cx="6858000" cy="2039112"/>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858000" cy="2039112"/>
                    </a:xfrm>
                    <a:prstGeom prst="rect">
                      <a:avLst/>
                    </a:prstGeom>
                  </pic:spPr>
                </pic:pic>
              </a:graphicData>
            </a:graphic>
          </wp:inline>
        </w:drawing>
      </w:r>
    </w:p>
    <w:p w14:paraId="08D3751F" w14:textId="1D5E61E4" w:rsidR="002A586F" w:rsidRPr="003C2819" w:rsidRDefault="001436AE" w:rsidP="0058144E">
      <w:pPr>
        <w:pStyle w:val="Caption"/>
        <w:jc w:val="center"/>
        <w:rPr>
          <w:rFonts w:ascii="Arial" w:hAnsi="Arial" w:cs="Arial"/>
        </w:rPr>
      </w:pPr>
      <w:bookmarkStart w:id="13" w:name="_Ref53062284"/>
      <w:r w:rsidRPr="003C2819">
        <w:rPr>
          <w:rFonts w:ascii="Arial" w:hAnsi="Arial" w:cs="Arial"/>
        </w:rPr>
        <w:t xml:space="preserve">Figure </w:t>
      </w:r>
      <w:r w:rsidRPr="591F3D1E">
        <w:rPr>
          <w:rFonts w:ascii="Arial" w:hAnsi="Arial" w:cs="Arial"/>
        </w:rPr>
        <w:fldChar w:fldCharType="begin"/>
      </w:r>
      <w:r w:rsidRPr="591F3D1E">
        <w:rPr>
          <w:rFonts w:ascii="Arial" w:hAnsi="Arial" w:cs="Arial"/>
        </w:rPr>
        <w:instrText xml:space="preserve"> SEQ Figure \* ARABIC </w:instrText>
      </w:r>
      <w:r w:rsidRPr="591F3D1E">
        <w:rPr>
          <w:rFonts w:ascii="Arial" w:hAnsi="Arial" w:cs="Arial"/>
        </w:rPr>
        <w:fldChar w:fldCharType="separate"/>
      </w:r>
      <w:r w:rsidR="00BE31F7">
        <w:rPr>
          <w:rFonts w:ascii="Arial" w:hAnsi="Arial" w:cs="Arial"/>
          <w:noProof/>
        </w:rPr>
        <w:t>2</w:t>
      </w:r>
      <w:r w:rsidRPr="591F3D1E">
        <w:rPr>
          <w:rFonts w:ascii="Arial" w:hAnsi="Arial" w:cs="Arial"/>
        </w:rPr>
        <w:fldChar w:fldCharType="end"/>
      </w:r>
      <w:bookmarkEnd w:id="13"/>
      <w:r w:rsidRPr="003C2819">
        <w:rPr>
          <w:rFonts w:ascii="Arial" w:hAnsi="Arial" w:cs="Arial"/>
        </w:rPr>
        <w:t xml:space="preserve">: </w:t>
      </w:r>
      <w:r w:rsidR="4A74F6DB" w:rsidRPr="591F3D1E">
        <w:rPr>
          <w:rFonts w:ascii="Arial" w:hAnsi="Arial" w:cs="Arial"/>
        </w:rPr>
        <w:t>Proposed</w:t>
      </w:r>
      <w:r w:rsidR="00183A81">
        <w:rPr>
          <w:rFonts w:ascii="Arial" w:hAnsi="Arial" w:cs="Arial"/>
        </w:rPr>
        <w:t xml:space="preserve"> example</w:t>
      </w:r>
      <w:r>
        <w:rPr>
          <w:rFonts w:ascii="Arial" w:hAnsi="Arial" w:cs="Arial"/>
        </w:rPr>
        <w:t xml:space="preserve"> </w:t>
      </w:r>
      <w:r w:rsidR="002A586F" w:rsidRPr="003C2819">
        <w:rPr>
          <w:rFonts w:ascii="Arial" w:hAnsi="Arial" w:cs="Arial"/>
        </w:rPr>
        <w:t xml:space="preserve">NR </w:t>
      </w:r>
      <w:r w:rsidRPr="003C2819">
        <w:rPr>
          <w:rFonts w:ascii="Arial" w:hAnsi="Arial" w:cs="Arial"/>
        </w:rPr>
        <w:t>band plan with full utilization regional frequency allocations</w:t>
      </w:r>
    </w:p>
    <w:p w14:paraId="24B53D44" w14:textId="77777777" w:rsidR="000A1575" w:rsidRDefault="000A1575" w:rsidP="00712BF4">
      <w:pPr>
        <w:pStyle w:val="BodyText"/>
      </w:pPr>
    </w:p>
    <w:p w14:paraId="5D63DD5D" w14:textId="32874498" w:rsidR="00BD0B60" w:rsidRDefault="00BD0B60" w:rsidP="00BD0B60">
      <w:pPr>
        <w:pStyle w:val="BodyText"/>
      </w:pPr>
      <w:r>
        <w:t xml:space="preserve">This </w:t>
      </w:r>
      <w:r w:rsidR="00D860B5">
        <w:t>proposed example NR band plan</w:t>
      </w:r>
      <w:r>
        <w:t xml:space="preserve"> naturally results in channels that overlap the 2.16 GHz channel boundaries defined by the IEEE 802.11ad standard. However, as we point out in the next section (see </w:t>
      </w:r>
      <w:r>
        <w:fldChar w:fldCharType="begin"/>
      </w:r>
      <w:r>
        <w:instrText xml:space="preserve"> REF _Ref46233016 \h </w:instrText>
      </w:r>
      <w:r>
        <w:fldChar w:fldCharType="separate"/>
      </w:r>
      <w:r w:rsidR="00BE31F7">
        <w:t>Figure</w:t>
      </w:r>
      <w:r w:rsidR="00BE31F7" w:rsidRPr="00731273">
        <w:t xml:space="preserve"> </w:t>
      </w:r>
      <w:r w:rsidR="00BE31F7">
        <w:rPr>
          <w:noProof/>
        </w:rPr>
        <w:t>7</w:t>
      </w:r>
      <w:r>
        <w:fldChar w:fldCharType="end"/>
      </w:r>
      <w:r>
        <w:t xml:space="preserve">), the 802.11ad standard itself supports partially overlapping channels for channel bandwidths &gt;2.16 GHz. In the companion contribution </w:t>
      </w:r>
      <w:r>
        <w:fldChar w:fldCharType="begin"/>
      </w:r>
      <w:r>
        <w:instrText xml:space="preserve"> REF _Ref52864098 \r \h </w:instrText>
      </w:r>
      <w:r>
        <w:fldChar w:fldCharType="separate"/>
      </w:r>
      <w:r w:rsidR="00BE31F7">
        <w:t>[4]</w:t>
      </w:r>
      <w:r>
        <w:fldChar w:fldCharType="end"/>
      </w:r>
      <w:r>
        <w:t xml:space="preserve">, we provide extensive evaluation results showing there </w:t>
      </w:r>
      <w:r w:rsidR="61FC810A">
        <w:t>are</w:t>
      </w:r>
      <w:r>
        <w:t xml:space="preserve"> no coexistence issues even without deploying LBT protocols. Later in this section, we further demonstrate that misaligned channels do not create a coexistence problem</w:t>
      </w:r>
      <w:r w:rsidR="00D860B5">
        <w:t xml:space="preserve"> </w:t>
      </w:r>
      <w:r>
        <w:t xml:space="preserve">either. It is therefore preferable for 3GPP NR to adopt a full utilization design from the start rather than sacrificing large portions of spectrum under the unnecessary constraint of aligning 3GPP channelization with </w:t>
      </w:r>
      <w:r w:rsidR="00D860B5">
        <w:t>that</w:t>
      </w:r>
      <w:r>
        <w:t xml:space="preserve"> of IEEE 802.11ad.</w:t>
      </w:r>
    </w:p>
    <w:p w14:paraId="4DFD9C71" w14:textId="51317475" w:rsidR="00B57035" w:rsidRPr="00E612C8" w:rsidRDefault="002A586F">
      <w:pPr>
        <w:pStyle w:val="BodyText"/>
      </w:pPr>
      <w:r w:rsidRPr="00E612C8">
        <w:t xml:space="preserve">For the purposes of comparison, </w:t>
      </w:r>
      <w:r w:rsidRPr="00E612C8">
        <w:fldChar w:fldCharType="begin"/>
      </w:r>
      <w:r w:rsidRPr="00E612C8">
        <w:instrText xml:space="preserve"> REF _Ref53063396 \h  \* MERGEFORMAT </w:instrText>
      </w:r>
      <w:r w:rsidRPr="00E612C8">
        <w:fldChar w:fldCharType="separate"/>
      </w:r>
      <w:r w:rsidR="00BE31F7" w:rsidRPr="00BE31F7">
        <w:t>Figure 3</w:t>
      </w:r>
      <w:r w:rsidRPr="00E612C8">
        <w:fldChar w:fldCharType="end"/>
      </w:r>
      <w:r w:rsidRPr="00E612C8">
        <w:t xml:space="preserve"> shows a (non-preferred) band plan which is designed to align with the 802.11ad channelization. The channel </w:t>
      </w:r>
      <w:r w:rsidR="0003711D">
        <w:t xml:space="preserve">bandwidths are left the same as </w:t>
      </w:r>
      <w:r w:rsidR="00B164FD">
        <w:t>above</w:t>
      </w:r>
      <w:r w:rsidR="0003711D">
        <w:t xml:space="preserve">, </w:t>
      </w:r>
      <w:r w:rsidR="00B164FD">
        <w:t xml:space="preserve">but the channels are </w:t>
      </w:r>
      <w:r w:rsidR="0003711D">
        <w:t xml:space="preserve">shifted </w:t>
      </w:r>
      <w:proofErr w:type="gramStart"/>
      <w:r w:rsidR="0003711D">
        <w:t>so as to</w:t>
      </w:r>
      <w:proofErr w:type="gramEnd"/>
      <w:r w:rsidR="0003711D">
        <w:t xml:space="preserve"> fit within each of the</w:t>
      </w:r>
      <w:r w:rsidR="00084613" w:rsidRPr="00E612C8">
        <w:t xml:space="preserve"> 2.16 GHz </w:t>
      </w:r>
      <w:r w:rsidR="0003711D">
        <w:t xml:space="preserve">802.11ad </w:t>
      </w:r>
      <w:r w:rsidR="00084613" w:rsidRPr="00E612C8">
        <w:t>channel</w:t>
      </w:r>
      <w:r w:rsidR="0003711D">
        <w:t>s</w:t>
      </w:r>
      <w:r w:rsidR="00084613" w:rsidRPr="00E612C8">
        <w:t>.</w:t>
      </w:r>
      <w:r w:rsidR="00084613">
        <w:rPr>
          <w:rFonts w:cs="Arial"/>
        </w:rPr>
        <w:t xml:space="preserve"> </w:t>
      </w:r>
      <w:r w:rsidR="00B164FD">
        <w:rPr>
          <w:rFonts w:cs="Arial"/>
        </w:rPr>
        <w:t xml:space="preserve">Such an "aligned" design results in a reduced number of </w:t>
      </w:r>
      <w:r w:rsidR="00B164FD">
        <w:t xml:space="preserve">channels in all of the regions, which is a manifestation of the </w:t>
      </w:r>
      <w:r w:rsidR="00506351">
        <w:t xml:space="preserve">same </w:t>
      </w:r>
      <w:r w:rsidR="00B164FD">
        <w:t xml:space="preserve">spectrum wastage problem indicated in </w:t>
      </w:r>
      <w:r w:rsidR="00B164FD">
        <w:fldChar w:fldCharType="begin"/>
      </w:r>
      <w:r w:rsidR="00B164FD">
        <w:instrText xml:space="preserve"> REF _Ref53057845 \h </w:instrText>
      </w:r>
      <w:r w:rsidR="00B164FD">
        <w:fldChar w:fldCharType="separate"/>
      </w:r>
      <w:r w:rsidR="00BE31F7" w:rsidRPr="003C2819">
        <w:rPr>
          <w:rFonts w:cs="Arial"/>
        </w:rPr>
        <w:t xml:space="preserve">Figure </w:t>
      </w:r>
      <w:r w:rsidR="00BE31F7">
        <w:rPr>
          <w:rFonts w:cs="Arial"/>
          <w:noProof/>
        </w:rPr>
        <w:t>1</w:t>
      </w:r>
      <w:r w:rsidR="00B164FD">
        <w:fldChar w:fldCharType="end"/>
      </w:r>
      <w:r w:rsidR="00B164FD">
        <w:t xml:space="preserve">. </w:t>
      </w:r>
      <w:r w:rsidR="00506351">
        <w:fldChar w:fldCharType="begin"/>
      </w:r>
      <w:r w:rsidR="00506351">
        <w:instrText xml:space="preserve"> REF _Ref53674633 \h </w:instrText>
      </w:r>
      <w:r w:rsidR="00506351">
        <w:fldChar w:fldCharType="separate"/>
      </w:r>
      <w:r w:rsidR="00BE31F7" w:rsidRPr="003C2FCC">
        <w:rPr>
          <w:rFonts w:cs="Arial"/>
        </w:rPr>
        <w:t xml:space="preserve">Table </w:t>
      </w:r>
      <w:r w:rsidR="00BE31F7">
        <w:rPr>
          <w:rFonts w:cs="Arial"/>
          <w:noProof/>
        </w:rPr>
        <w:t>2</w:t>
      </w:r>
      <w:r w:rsidR="00506351">
        <w:fldChar w:fldCharType="end"/>
      </w:r>
      <w:r w:rsidR="00506351">
        <w:t xml:space="preserve"> shows the </w:t>
      </w:r>
      <w:r w:rsidR="00B57035" w:rsidRPr="00E612C8">
        <w:t xml:space="preserve">number of nominal 1600/800/400 MHz channels </w:t>
      </w:r>
      <w:r w:rsidR="00506351">
        <w:t>that are</w:t>
      </w:r>
      <w:r w:rsidR="00506351" w:rsidRPr="00E612C8">
        <w:t xml:space="preserve"> </w:t>
      </w:r>
      <w:r w:rsidR="00B57035" w:rsidRPr="00E612C8">
        <w:t>lost</w:t>
      </w:r>
      <w:r w:rsidR="00B164FD">
        <w:t xml:space="preserve"> compared to the preferred channelization in </w:t>
      </w:r>
      <w:r w:rsidR="00B164FD" w:rsidRPr="00E612C8">
        <w:fldChar w:fldCharType="begin"/>
      </w:r>
      <w:r w:rsidR="00B164FD" w:rsidRPr="00E612C8">
        <w:instrText xml:space="preserve"> REF _Ref53062284 \h  \* MERGEFORMAT </w:instrText>
      </w:r>
      <w:r w:rsidR="00B164FD" w:rsidRPr="00E612C8">
        <w:fldChar w:fldCharType="separate"/>
      </w:r>
      <w:r w:rsidR="00BE31F7" w:rsidRPr="00BE31F7">
        <w:t>Figure 2</w:t>
      </w:r>
      <w:r w:rsidR="00B164FD" w:rsidRPr="00E612C8">
        <w:fldChar w:fldCharType="end"/>
      </w:r>
      <w:r w:rsidR="00B164FD">
        <w:t>.</w:t>
      </w:r>
    </w:p>
    <w:p w14:paraId="11EB443D" w14:textId="75CD1A37" w:rsidR="00B164FD" w:rsidRDefault="00B164FD" w:rsidP="00B164FD">
      <w:pPr>
        <w:pStyle w:val="BodyText"/>
      </w:pPr>
    </w:p>
    <w:p w14:paraId="7BE1F425" w14:textId="57B1B3F3" w:rsidR="00B164FD" w:rsidRPr="003C2FCC" w:rsidRDefault="00B164FD" w:rsidP="00B164FD">
      <w:pPr>
        <w:pStyle w:val="Caption"/>
        <w:jc w:val="center"/>
        <w:rPr>
          <w:rFonts w:ascii="Arial" w:hAnsi="Arial" w:cs="Arial"/>
        </w:rPr>
      </w:pPr>
      <w:bookmarkStart w:id="14" w:name="_Ref53674633"/>
      <w:r w:rsidRPr="003C2FCC">
        <w:rPr>
          <w:rFonts w:ascii="Arial" w:hAnsi="Arial" w:cs="Arial"/>
        </w:rPr>
        <w:t xml:space="preserve">Table </w:t>
      </w:r>
      <w:r w:rsidRPr="003C2FCC">
        <w:rPr>
          <w:rFonts w:ascii="Arial" w:hAnsi="Arial" w:cs="Arial"/>
        </w:rPr>
        <w:fldChar w:fldCharType="begin"/>
      </w:r>
      <w:r w:rsidRPr="003C2FCC">
        <w:rPr>
          <w:rFonts w:ascii="Arial" w:hAnsi="Arial" w:cs="Arial"/>
        </w:rPr>
        <w:instrText xml:space="preserve"> SEQ Table \* ARABIC </w:instrText>
      </w:r>
      <w:r w:rsidRPr="003C2FCC">
        <w:rPr>
          <w:rFonts w:ascii="Arial" w:hAnsi="Arial" w:cs="Arial"/>
        </w:rPr>
        <w:fldChar w:fldCharType="separate"/>
      </w:r>
      <w:r w:rsidR="00BE31F7">
        <w:rPr>
          <w:rFonts w:ascii="Arial" w:hAnsi="Arial" w:cs="Arial"/>
          <w:noProof/>
        </w:rPr>
        <w:t>2</w:t>
      </w:r>
      <w:r w:rsidRPr="003C2FCC">
        <w:rPr>
          <w:rFonts w:ascii="Arial" w:hAnsi="Arial" w:cs="Arial"/>
        </w:rPr>
        <w:fldChar w:fldCharType="end"/>
      </w:r>
      <w:bookmarkEnd w:id="14"/>
      <w:r w:rsidRPr="003C2FCC">
        <w:rPr>
          <w:rFonts w:ascii="Arial" w:hAnsi="Arial" w:cs="Arial"/>
        </w:rPr>
        <w:t xml:space="preserve">: </w:t>
      </w:r>
      <w:r>
        <w:rPr>
          <w:rFonts w:ascii="Arial" w:hAnsi="Arial" w:cs="Arial"/>
        </w:rPr>
        <w:t>Number</w:t>
      </w:r>
      <w:r w:rsidRPr="003C2FCC">
        <w:rPr>
          <w:rFonts w:ascii="Arial" w:hAnsi="Arial" w:cs="Arial"/>
        </w:rPr>
        <w:t xml:space="preserve"> of </w:t>
      </w:r>
      <w:r>
        <w:rPr>
          <w:rFonts w:ascii="Arial" w:hAnsi="Arial" w:cs="Arial"/>
        </w:rPr>
        <w:t xml:space="preserve">1600 / 800 / 400 MHz </w:t>
      </w:r>
      <w:r w:rsidRPr="003C2FCC">
        <w:rPr>
          <w:rFonts w:ascii="Arial" w:hAnsi="Arial" w:cs="Arial"/>
        </w:rPr>
        <w:t xml:space="preserve">nominal channels </w:t>
      </w:r>
      <w:r w:rsidR="00082D57">
        <w:rPr>
          <w:rFonts w:ascii="Arial" w:hAnsi="Arial" w:cs="Arial"/>
        </w:rPr>
        <w:t xml:space="preserve">lost </w:t>
      </w:r>
      <w:r w:rsidRPr="003C2FCC">
        <w:rPr>
          <w:rFonts w:ascii="Arial" w:hAnsi="Arial" w:cs="Arial"/>
        </w:rPr>
        <w:t>per region</w:t>
      </w:r>
      <w:r w:rsidR="00082D57">
        <w:rPr>
          <w:rFonts w:ascii="Arial" w:hAnsi="Arial" w:cs="Arial"/>
        </w:rPr>
        <w:t xml:space="preserve"> using the "aligned" design</w:t>
      </w:r>
      <w:r w:rsidR="00506351">
        <w:rPr>
          <w:rFonts w:ascii="Arial" w:hAnsi="Arial" w:cs="Arial"/>
        </w:rPr>
        <w:t xml:space="preserve"> in </w:t>
      </w:r>
      <w:r w:rsidR="00506351">
        <w:rPr>
          <w:rFonts w:ascii="Arial" w:hAnsi="Arial" w:cs="Arial"/>
        </w:rPr>
        <w:fldChar w:fldCharType="begin"/>
      </w:r>
      <w:r w:rsidR="00506351">
        <w:rPr>
          <w:rFonts w:ascii="Arial" w:hAnsi="Arial" w:cs="Arial"/>
        </w:rPr>
        <w:instrText xml:space="preserve"> REF _Ref53063396 \h </w:instrText>
      </w:r>
      <w:r w:rsidR="00506351">
        <w:rPr>
          <w:rFonts w:ascii="Arial" w:hAnsi="Arial" w:cs="Arial"/>
        </w:rPr>
      </w:r>
      <w:r w:rsidR="00506351">
        <w:rPr>
          <w:rFonts w:ascii="Arial" w:hAnsi="Arial" w:cs="Arial"/>
        </w:rPr>
        <w:fldChar w:fldCharType="separate"/>
      </w:r>
      <w:r w:rsidR="00BE31F7" w:rsidRPr="003C2819">
        <w:rPr>
          <w:rFonts w:ascii="Arial" w:hAnsi="Arial" w:cs="Arial"/>
        </w:rPr>
        <w:t xml:space="preserve">Figure </w:t>
      </w:r>
      <w:r w:rsidR="00BE31F7">
        <w:rPr>
          <w:rFonts w:ascii="Arial" w:hAnsi="Arial" w:cs="Arial"/>
          <w:noProof/>
        </w:rPr>
        <w:t>3</w:t>
      </w:r>
      <w:r w:rsidR="00506351">
        <w:rPr>
          <w:rFonts w:ascii="Arial" w:hAnsi="Arial" w:cs="Arial"/>
        </w:rPr>
        <w:fldChar w:fldCharType="end"/>
      </w:r>
      <w:r w:rsidR="00506351">
        <w:rPr>
          <w:rFonts w:ascii="Arial" w:hAnsi="Arial" w:cs="Arial"/>
        </w:rPr>
        <w:t>.</w:t>
      </w:r>
    </w:p>
    <w:tbl>
      <w:tblPr>
        <w:tblStyle w:val="TableGrid"/>
        <w:tblW w:w="0" w:type="auto"/>
        <w:jc w:val="center"/>
        <w:tblLook w:val="04A0" w:firstRow="1" w:lastRow="0" w:firstColumn="1" w:lastColumn="0" w:noHBand="0" w:noVBand="1"/>
      </w:tblPr>
      <w:tblGrid>
        <w:gridCol w:w="5395"/>
        <w:gridCol w:w="1980"/>
      </w:tblGrid>
      <w:tr w:rsidR="00B164FD" w14:paraId="47623387" w14:textId="77777777" w:rsidTr="00B81869">
        <w:trPr>
          <w:jc w:val="center"/>
        </w:trPr>
        <w:tc>
          <w:tcPr>
            <w:tcW w:w="5395" w:type="dxa"/>
          </w:tcPr>
          <w:p w14:paraId="26603591" w14:textId="77777777" w:rsidR="00B164FD" w:rsidRPr="003C2819" w:rsidRDefault="00B164FD" w:rsidP="00B81869">
            <w:pPr>
              <w:pStyle w:val="BodyText"/>
              <w:jc w:val="left"/>
              <w:rPr>
                <w:b/>
                <w:bCs/>
              </w:rPr>
            </w:pPr>
            <w:r w:rsidRPr="003C2819">
              <w:rPr>
                <w:b/>
                <w:bCs/>
              </w:rPr>
              <w:t>Region</w:t>
            </w:r>
          </w:p>
        </w:tc>
        <w:tc>
          <w:tcPr>
            <w:tcW w:w="1980" w:type="dxa"/>
          </w:tcPr>
          <w:p w14:paraId="53F3B48C" w14:textId="401AF542" w:rsidR="00B164FD" w:rsidRPr="003C2819" w:rsidRDefault="00B164FD" w:rsidP="00B81869">
            <w:pPr>
              <w:pStyle w:val="BodyText"/>
              <w:jc w:val="center"/>
              <w:rPr>
                <w:b/>
                <w:lang w:val="en-US"/>
              </w:rPr>
            </w:pPr>
            <w:r w:rsidRPr="003C2819">
              <w:rPr>
                <w:b/>
                <w:bCs/>
              </w:rPr>
              <w:t>Number of</w:t>
            </w:r>
            <w:r w:rsidR="00082D57">
              <w:rPr>
                <w:b/>
                <w:bCs/>
              </w:rPr>
              <w:t xml:space="preserve"> lost</w:t>
            </w:r>
            <w:r w:rsidRPr="003C2819">
              <w:rPr>
                <w:b/>
                <w:bCs/>
              </w:rPr>
              <w:t xml:space="preserve"> channels</w:t>
            </w:r>
          </w:p>
        </w:tc>
      </w:tr>
      <w:tr w:rsidR="00B164FD" w14:paraId="335B911B" w14:textId="77777777" w:rsidTr="00B81869">
        <w:trPr>
          <w:jc w:val="center"/>
        </w:trPr>
        <w:tc>
          <w:tcPr>
            <w:tcW w:w="5395" w:type="dxa"/>
          </w:tcPr>
          <w:p w14:paraId="1D5FA5A0" w14:textId="77777777" w:rsidR="00B164FD" w:rsidRPr="003C2819" w:rsidRDefault="00B164FD" w:rsidP="00B81869">
            <w:pPr>
              <w:pStyle w:val="BodyText"/>
              <w:rPr>
                <w:lang w:val="en-US"/>
              </w:rPr>
            </w:pPr>
            <w:r w:rsidRPr="00CE770E">
              <w:t>China and IMT allocation in Europe</w:t>
            </w:r>
          </w:p>
        </w:tc>
        <w:tc>
          <w:tcPr>
            <w:tcW w:w="1980" w:type="dxa"/>
          </w:tcPr>
          <w:p w14:paraId="7961ADF5" w14:textId="08C3F6CD" w:rsidR="00082D57" w:rsidRDefault="00082D57">
            <w:pPr>
              <w:pStyle w:val="BodyText"/>
              <w:jc w:val="center"/>
            </w:pPr>
            <w:r>
              <w:t>1/2/2</w:t>
            </w:r>
          </w:p>
        </w:tc>
      </w:tr>
      <w:tr w:rsidR="00B164FD" w14:paraId="4D29A0F5" w14:textId="77777777" w:rsidTr="00B81869">
        <w:trPr>
          <w:jc w:val="center"/>
        </w:trPr>
        <w:tc>
          <w:tcPr>
            <w:tcW w:w="5395" w:type="dxa"/>
          </w:tcPr>
          <w:p w14:paraId="5ADA9173" w14:textId="77777777" w:rsidR="00B164FD" w:rsidRPr="003C2819" w:rsidRDefault="00B164FD" w:rsidP="00B81869">
            <w:pPr>
              <w:pStyle w:val="BodyText"/>
              <w:rPr>
                <w:lang w:val="en-US"/>
              </w:rPr>
            </w:pPr>
            <w:r w:rsidRPr="00CE770E">
              <w:t>US and unlicensed allocation in Europ</w:t>
            </w:r>
            <w:r>
              <w:t>e</w:t>
            </w:r>
          </w:p>
        </w:tc>
        <w:tc>
          <w:tcPr>
            <w:tcW w:w="1980" w:type="dxa"/>
          </w:tcPr>
          <w:p w14:paraId="0E0ABE0D" w14:textId="2A507D08" w:rsidR="00082D57" w:rsidRDefault="00082D57">
            <w:pPr>
              <w:pStyle w:val="BodyText"/>
              <w:jc w:val="center"/>
            </w:pPr>
            <w:r>
              <w:t>2/4/2</w:t>
            </w:r>
          </w:p>
        </w:tc>
      </w:tr>
      <w:tr w:rsidR="00B164FD" w14:paraId="49D7722E" w14:textId="77777777" w:rsidTr="00B81869">
        <w:trPr>
          <w:jc w:val="center"/>
        </w:trPr>
        <w:tc>
          <w:tcPr>
            <w:tcW w:w="5395" w:type="dxa"/>
          </w:tcPr>
          <w:p w14:paraId="5110C599" w14:textId="77777777" w:rsidR="00B164FD" w:rsidRDefault="00B164FD" w:rsidP="00B81869">
            <w:pPr>
              <w:pStyle w:val="BodyText"/>
            </w:pPr>
            <w:r w:rsidRPr="00CE770E">
              <w:t>Canada, Brazil, Mexico</w:t>
            </w:r>
          </w:p>
        </w:tc>
        <w:tc>
          <w:tcPr>
            <w:tcW w:w="1980" w:type="dxa"/>
          </w:tcPr>
          <w:p w14:paraId="0B795C52" w14:textId="211137F9" w:rsidR="00082D57" w:rsidRDefault="00082D57">
            <w:pPr>
              <w:pStyle w:val="BodyText"/>
              <w:jc w:val="center"/>
            </w:pPr>
            <w:r>
              <w:t>1/2/2</w:t>
            </w:r>
          </w:p>
        </w:tc>
      </w:tr>
      <w:tr w:rsidR="00B164FD" w14:paraId="0D24B210" w14:textId="77777777" w:rsidTr="00B81869">
        <w:trPr>
          <w:jc w:val="center"/>
        </w:trPr>
        <w:tc>
          <w:tcPr>
            <w:tcW w:w="5395" w:type="dxa"/>
          </w:tcPr>
          <w:p w14:paraId="694437FC" w14:textId="77777777" w:rsidR="00B164FD" w:rsidRPr="003C2819" w:rsidRDefault="00B164FD" w:rsidP="00B81869">
            <w:pPr>
              <w:pStyle w:val="BodyText"/>
              <w:rPr>
                <w:lang w:val="en-US"/>
              </w:rPr>
            </w:pPr>
            <w:r w:rsidRPr="00CE770E">
              <w:t>South Africa, Japan, Korea, Taiwan, Singapore, Australia</w:t>
            </w:r>
          </w:p>
        </w:tc>
        <w:tc>
          <w:tcPr>
            <w:tcW w:w="1980" w:type="dxa"/>
          </w:tcPr>
          <w:p w14:paraId="7924A040" w14:textId="5D8CAF67" w:rsidR="00082D57" w:rsidRDefault="00082D57">
            <w:pPr>
              <w:pStyle w:val="BodyText"/>
              <w:jc w:val="center"/>
            </w:pPr>
            <w:r>
              <w:t>1/2/2</w:t>
            </w:r>
          </w:p>
        </w:tc>
      </w:tr>
    </w:tbl>
    <w:p w14:paraId="32E4501B" w14:textId="77777777" w:rsidR="00B164FD" w:rsidRPr="00C777FC" w:rsidRDefault="00B164FD" w:rsidP="004F69A1">
      <w:pPr>
        <w:pStyle w:val="BodyText"/>
      </w:pPr>
    </w:p>
    <w:p w14:paraId="1FFAC987" w14:textId="45C272BF" w:rsidR="002A586F" w:rsidRDefault="0003711D" w:rsidP="0003711D">
      <w:pPr>
        <w:keepNext/>
        <w:ind w:left="-720"/>
        <w:jc w:val="center"/>
      </w:pPr>
      <w:r w:rsidRPr="0003711D">
        <w:rPr>
          <w:noProof/>
        </w:rPr>
        <w:drawing>
          <wp:inline distT="0" distB="0" distL="0" distR="0" wp14:anchorId="0FCA6D6A" wp14:editId="1283116F">
            <wp:extent cx="6858000" cy="2084832"/>
            <wp:effectExtent l="0" t="0" r="0" b="0"/>
            <wp:docPr id="1614471049" name="Picture 161447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58000" cy="2084832"/>
                    </a:xfrm>
                    <a:prstGeom prst="rect">
                      <a:avLst/>
                    </a:prstGeom>
                    <a:noFill/>
                    <a:ln>
                      <a:noFill/>
                    </a:ln>
                  </pic:spPr>
                </pic:pic>
              </a:graphicData>
            </a:graphic>
          </wp:inline>
        </w:drawing>
      </w:r>
    </w:p>
    <w:p w14:paraId="53D85A48" w14:textId="200C42E3" w:rsidR="002A586F" w:rsidRPr="003C2819" w:rsidRDefault="002A586F" w:rsidP="0058144E">
      <w:pPr>
        <w:pStyle w:val="Caption"/>
        <w:jc w:val="center"/>
        <w:rPr>
          <w:rFonts w:ascii="Arial" w:hAnsi="Arial" w:cs="Arial"/>
        </w:rPr>
      </w:pPr>
      <w:bookmarkStart w:id="15" w:name="_Ref53063396"/>
      <w:r w:rsidRPr="003C2819">
        <w:rPr>
          <w:rFonts w:ascii="Arial" w:hAnsi="Arial" w:cs="Arial"/>
        </w:rPr>
        <w:t xml:space="preserve">Figure </w:t>
      </w:r>
      <w:r>
        <w:rPr>
          <w:rFonts w:ascii="Arial" w:hAnsi="Arial" w:cs="Arial"/>
        </w:rPr>
        <w:fldChar w:fldCharType="begin"/>
      </w:r>
      <w:r w:rsidRPr="00E216C4">
        <w:rPr>
          <w:rFonts w:ascii="Arial" w:hAnsi="Arial" w:cs="Arial"/>
        </w:rPr>
        <w:instrText xml:space="preserve"> SEQ Figure \* ARABIC </w:instrText>
      </w:r>
      <w:r>
        <w:rPr>
          <w:rFonts w:ascii="Arial" w:hAnsi="Arial" w:cs="Arial"/>
        </w:rPr>
        <w:fldChar w:fldCharType="separate"/>
      </w:r>
      <w:r w:rsidR="00BE31F7">
        <w:rPr>
          <w:rFonts w:ascii="Arial" w:hAnsi="Arial" w:cs="Arial"/>
          <w:noProof/>
        </w:rPr>
        <w:t>3</w:t>
      </w:r>
      <w:r>
        <w:rPr>
          <w:rFonts w:ascii="Arial" w:hAnsi="Arial" w:cs="Arial"/>
        </w:rPr>
        <w:fldChar w:fldCharType="end"/>
      </w:r>
      <w:bookmarkEnd w:id="15"/>
      <w:r w:rsidRPr="003C2819">
        <w:rPr>
          <w:rFonts w:ascii="Arial" w:hAnsi="Arial" w:cs="Arial"/>
        </w:rPr>
        <w:t>: Non-preferred band plan aligned with IEEE 802.11ad channelization</w:t>
      </w:r>
    </w:p>
    <w:p w14:paraId="45438BB2" w14:textId="77777777" w:rsidR="001F000B" w:rsidRDefault="001F000B" w:rsidP="001436AE">
      <w:pPr>
        <w:rPr>
          <w:rFonts w:ascii="Arial" w:hAnsi="Arial" w:cs="Arial"/>
          <w:lang w:eastAsia="zh-CN"/>
        </w:rPr>
      </w:pPr>
    </w:p>
    <w:p w14:paraId="16A9CA3F" w14:textId="14D0AAE4" w:rsidR="005579B9" w:rsidRDefault="00486EDC" w:rsidP="00195871">
      <w:pPr>
        <w:pStyle w:val="BodyText"/>
      </w:pPr>
      <w:r>
        <w:t>Here we investigate</w:t>
      </w:r>
      <w:r w:rsidR="00195871">
        <w:t xml:space="preserve"> the </w:t>
      </w:r>
      <w:r>
        <w:t>potential impact</w:t>
      </w:r>
      <w:r w:rsidR="00195871">
        <w:t xml:space="preserve"> of </w:t>
      </w:r>
      <w:r>
        <w:t>misaligned channels</w:t>
      </w:r>
      <w:r w:rsidR="00780684">
        <w:t>. For regions with smaller frequency allocations</w:t>
      </w:r>
      <w:r>
        <w:t xml:space="preserve"> (small number of available channels)</w:t>
      </w:r>
      <w:r w:rsidR="00780684">
        <w:t xml:space="preserve">, </w:t>
      </w:r>
      <w:r>
        <w:t>it</w:t>
      </w:r>
      <w:r w:rsidR="00780684">
        <w:t xml:space="preserve"> may not be possible</w:t>
      </w:r>
      <w:r>
        <w:t xml:space="preserve"> to avoid co-channel coexistence amongst networks</w:t>
      </w:r>
      <w:r w:rsidR="00780684">
        <w:t>, e.g., the 5 GHz allocation in China</w:t>
      </w:r>
      <w:r w:rsidR="005579B9">
        <w:t xml:space="preserve"> where there are a limited number of available channels. In the preferred band plan in </w:t>
      </w:r>
      <w:r w:rsidR="005579B9" w:rsidRPr="00A84D00">
        <w:fldChar w:fldCharType="begin"/>
      </w:r>
      <w:r w:rsidR="005579B9" w:rsidRPr="00486EDC">
        <w:instrText xml:space="preserve"> REF _Ref53062284 \h </w:instrText>
      </w:r>
      <w:r w:rsidRPr="003C2819">
        <w:instrText xml:space="preserve"> \* MERGEFORMAT </w:instrText>
      </w:r>
      <w:r w:rsidR="005579B9" w:rsidRPr="00A84D00">
        <w:fldChar w:fldCharType="separate"/>
      </w:r>
      <w:r w:rsidR="00BE31F7" w:rsidRPr="003C2819">
        <w:rPr>
          <w:rFonts w:cs="Arial"/>
        </w:rPr>
        <w:t xml:space="preserve">Figure </w:t>
      </w:r>
      <w:r w:rsidR="00BE31F7">
        <w:rPr>
          <w:rFonts w:cs="Arial"/>
        </w:rPr>
        <w:t>2</w:t>
      </w:r>
      <w:r w:rsidR="005579B9" w:rsidRPr="00A84D00">
        <w:fldChar w:fldCharType="end"/>
      </w:r>
      <w:r w:rsidR="005579B9">
        <w:t xml:space="preserve">, three nominal 1.6 GHz channels are available in China. </w:t>
      </w:r>
      <w:r w:rsidR="00497E6D">
        <w:t>To assess if there are any performance impacts to adopting a band plan such as the preferred band plan which maximizes spectrum utilization, we</w:t>
      </w:r>
      <w:r w:rsidR="005579B9">
        <w:t xml:space="preserve"> evaluate a </w:t>
      </w:r>
      <w:r w:rsidR="00AC775D">
        <w:t>worst-case</w:t>
      </w:r>
      <w:r w:rsidR="005579B9">
        <w:t xml:space="preserve"> coexistence scenario</w:t>
      </w:r>
      <w:r w:rsidR="00497E6D">
        <w:t>.</w:t>
      </w:r>
      <w:r w:rsidR="005579B9">
        <w:t xml:space="preserve"> </w:t>
      </w:r>
      <w:r w:rsidR="00497E6D">
        <w:t>W</w:t>
      </w:r>
      <w:r w:rsidR="005579B9">
        <w:t>e consider two operators deploying in the same office (Indoor Scenario B) in which Operator #1 uses two 2 GHz channels and Operator #2 uses three 1.6 GHz channels – naturally the channels are misaligned between the two operators</w:t>
      </w:r>
      <w:r w:rsidR="00497E6D" w:rsidRPr="00497E6D">
        <w:t xml:space="preserve"> </w:t>
      </w:r>
      <w:r w:rsidR="00497E6D">
        <w:t>This is compared to a scenario where both operators use two 2 GHz channels where the channels are aligned.</w:t>
      </w:r>
    </w:p>
    <w:p w14:paraId="503BD511" w14:textId="77777777" w:rsidR="00172EC9" w:rsidRDefault="00172EC9" w:rsidP="00195871">
      <w:pPr>
        <w:pStyle w:val="BodyText"/>
      </w:pPr>
    </w:p>
    <w:p w14:paraId="6C0E6E65" w14:textId="7B60205F" w:rsidR="005579B9" w:rsidRDefault="007523A3" w:rsidP="005579B9">
      <w:pPr>
        <w:pStyle w:val="BodyText"/>
        <w:keepNext/>
        <w:tabs>
          <w:tab w:val="center" w:pos="2160"/>
          <w:tab w:val="center" w:pos="6840"/>
        </w:tabs>
        <w:spacing w:after="0"/>
        <w:ind w:firstLine="720"/>
        <w:jc w:val="left"/>
      </w:pPr>
      <w:r>
        <w:rPr>
          <w:noProof/>
        </w:rPr>
        <w:drawing>
          <wp:inline distT="0" distB="0" distL="0" distR="0" wp14:anchorId="416CD93A" wp14:editId="56980BF3">
            <wp:extent cx="2304050" cy="485049"/>
            <wp:effectExtent l="0" t="0" r="1270" b="0"/>
            <wp:docPr id="1239340945" name="Picture 1239340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47529" cy="494202"/>
                    </a:xfrm>
                    <a:prstGeom prst="rect">
                      <a:avLst/>
                    </a:prstGeom>
                    <a:noFill/>
                  </pic:spPr>
                </pic:pic>
              </a:graphicData>
            </a:graphic>
          </wp:inline>
        </w:drawing>
      </w:r>
      <w:r w:rsidR="005579B9">
        <w:tab/>
      </w:r>
      <w:r w:rsidR="00E244F5">
        <w:rPr>
          <w:noProof/>
        </w:rPr>
        <w:drawing>
          <wp:inline distT="0" distB="0" distL="0" distR="0" wp14:anchorId="488FF3F7" wp14:editId="00417F04">
            <wp:extent cx="2511150" cy="461175"/>
            <wp:effectExtent l="0" t="0" r="3810" b="0"/>
            <wp:docPr id="1239340953" name="Picture 1239340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4698" cy="504066"/>
                    </a:xfrm>
                    <a:prstGeom prst="rect">
                      <a:avLst/>
                    </a:prstGeom>
                    <a:noFill/>
                  </pic:spPr>
                </pic:pic>
              </a:graphicData>
            </a:graphic>
          </wp:inline>
        </w:drawing>
      </w:r>
    </w:p>
    <w:p w14:paraId="1DB0880F" w14:textId="5612BA69" w:rsidR="005579B9" w:rsidRDefault="005579B9" w:rsidP="003C2819">
      <w:pPr>
        <w:pStyle w:val="BodyText"/>
        <w:keepNext/>
        <w:numPr>
          <w:ilvl w:val="0"/>
          <w:numId w:val="59"/>
        </w:numPr>
        <w:tabs>
          <w:tab w:val="center" w:pos="2160"/>
          <w:tab w:val="center" w:pos="6840"/>
        </w:tabs>
        <w:spacing w:after="0"/>
        <w:jc w:val="left"/>
      </w:pPr>
      <w:r>
        <w:t>(b)</w:t>
      </w:r>
    </w:p>
    <w:p w14:paraId="64B92E69" w14:textId="785112F0" w:rsidR="009230C3" w:rsidRDefault="009230C3" w:rsidP="009230C3">
      <w:pPr>
        <w:pStyle w:val="BodyText"/>
        <w:keepNext/>
        <w:tabs>
          <w:tab w:val="center" w:pos="2160"/>
          <w:tab w:val="center" w:pos="6840"/>
        </w:tabs>
        <w:spacing w:after="0"/>
        <w:jc w:val="left"/>
      </w:pPr>
    </w:p>
    <w:p w14:paraId="091A3997" w14:textId="0BBCABB1" w:rsidR="009230C3" w:rsidRDefault="738ED5C0" w:rsidP="003C2819">
      <w:pPr>
        <w:pStyle w:val="BodyText"/>
        <w:keepNext/>
        <w:tabs>
          <w:tab w:val="center" w:pos="2160"/>
          <w:tab w:val="center" w:pos="6840"/>
        </w:tabs>
        <w:spacing w:after="0"/>
        <w:jc w:val="center"/>
      </w:pPr>
      <w:r>
        <w:rPr>
          <w:noProof/>
        </w:rPr>
        <w:drawing>
          <wp:inline distT="0" distB="0" distL="0" distR="0" wp14:anchorId="27DCD797" wp14:editId="025ACA87">
            <wp:extent cx="1423670" cy="14490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16">
                      <a:extLst>
                        <a:ext uri="{28A0092B-C50C-407E-A947-70E740481C1C}">
                          <a14:useLocalDpi xmlns:a14="http://schemas.microsoft.com/office/drawing/2010/main" val="0"/>
                        </a:ext>
                      </a:extLst>
                    </a:blip>
                    <a:stretch>
                      <a:fillRect/>
                    </a:stretch>
                  </pic:blipFill>
                  <pic:spPr>
                    <a:xfrm>
                      <a:off x="0" y="0"/>
                      <a:ext cx="1423670" cy="1449070"/>
                    </a:xfrm>
                    <a:prstGeom prst="rect">
                      <a:avLst/>
                    </a:prstGeom>
                  </pic:spPr>
                </pic:pic>
              </a:graphicData>
            </a:graphic>
          </wp:inline>
        </w:drawing>
      </w:r>
    </w:p>
    <w:p w14:paraId="62269FC0" w14:textId="2EF31E32" w:rsidR="005579B9" w:rsidRPr="00E612C8" w:rsidRDefault="005579B9" w:rsidP="0058144E">
      <w:pPr>
        <w:pStyle w:val="Caption"/>
        <w:jc w:val="both"/>
        <w:rPr>
          <w:rFonts w:cs="Arial"/>
        </w:rPr>
      </w:pPr>
      <w:r w:rsidRPr="003C2819">
        <w:rPr>
          <w:rFonts w:ascii="Arial" w:hAnsi="Arial" w:cs="Arial"/>
        </w:rPr>
        <w:t xml:space="preserve">Figure </w:t>
      </w:r>
      <w:r>
        <w:rPr>
          <w:rFonts w:ascii="Arial" w:hAnsi="Arial" w:cs="Arial"/>
        </w:rPr>
        <w:fldChar w:fldCharType="begin"/>
      </w:r>
      <w:r w:rsidRPr="00E216C4">
        <w:rPr>
          <w:rFonts w:ascii="Arial" w:hAnsi="Arial" w:cs="Arial"/>
        </w:rPr>
        <w:instrText xml:space="preserve"> SEQ Figure \* ARABIC </w:instrText>
      </w:r>
      <w:r>
        <w:rPr>
          <w:rFonts w:ascii="Arial" w:hAnsi="Arial" w:cs="Arial"/>
        </w:rPr>
        <w:fldChar w:fldCharType="separate"/>
      </w:r>
      <w:r w:rsidR="00BE31F7">
        <w:rPr>
          <w:rFonts w:ascii="Arial" w:hAnsi="Arial" w:cs="Arial"/>
          <w:noProof/>
        </w:rPr>
        <w:t>4</w:t>
      </w:r>
      <w:r>
        <w:rPr>
          <w:rFonts w:ascii="Arial" w:hAnsi="Arial" w:cs="Arial"/>
        </w:rPr>
        <w:fldChar w:fldCharType="end"/>
      </w:r>
      <w:r w:rsidRPr="003C2819">
        <w:rPr>
          <w:rFonts w:ascii="Arial" w:hAnsi="Arial" w:cs="Arial"/>
        </w:rPr>
        <w:t xml:space="preserve">: Coexistence scenario between two operators (a) </w:t>
      </w:r>
      <w:r w:rsidR="009230C3" w:rsidRPr="003C2819">
        <w:rPr>
          <w:rFonts w:ascii="Arial" w:hAnsi="Arial" w:cs="Arial"/>
        </w:rPr>
        <w:t xml:space="preserve">both operators use </w:t>
      </w:r>
      <w:r w:rsidRPr="003C2819">
        <w:rPr>
          <w:rFonts w:ascii="Arial" w:hAnsi="Arial" w:cs="Arial"/>
        </w:rPr>
        <w:t xml:space="preserve">aligned </w:t>
      </w:r>
      <w:r w:rsidR="009230C3" w:rsidRPr="003C2819">
        <w:rPr>
          <w:rFonts w:ascii="Arial" w:hAnsi="Arial" w:cs="Arial"/>
        </w:rPr>
        <w:t xml:space="preserve">2 GHz channels, and (b) Operator #2 uses three 1.6 GHz channels misaligned with the two 2 GHz channels used by </w:t>
      </w:r>
      <w:r w:rsidR="009230C3" w:rsidRPr="003C2819">
        <w:rPr>
          <w:rFonts w:ascii="Arial" w:hAnsi="Arial" w:cs="Arial"/>
        </w:rPr>
        <w:lastRenderedPageBreak/>
        <w:t>Operator #1. In both cases (a) and (b), Operator #1 deploys its AP(s) at the red location in the office box, and Operator #2 deploys at the blue location.</w:t>
      </w:r>
    </w:p>
    <w:p w14:paraId="71ED8FF0" w14:textId="77777777" w:rsidR="001F000B" w:rsidRDefault="001F000B" w:rsidP="001B57F5">
      <w:pPr>
        <w:pStyle w:val="BodyText"/>
      </w:pPr>
    </w:p>
    <w:p w14:paraId="368EDBE6" w14:textId="3273483B" w:rsidR="004B2E96" w:rsidRDefault="009230C3">
      <w:pPr>
        <w:pStyle w:val="BodyText"/>
      </w:pPr>
      <w:r>
        <w:t>In both cases, 12 UEs are associated with each operator</w:t>
      </w:r>
      <w:r w:rsidR="00FF371F">
        <w:t xml:space="preserve"> and the </w:t>
      </w:r>
      <w:r>
        <w:t xml:space="preserve">UEs </w:t>
      </w:r>
      <w:r w:rsidR="00FF371F">
        <w:t>are divided equally amongst</w:t>
      </w:r>
      <w:r>
        <w:t xml:space="preserve"> the </w:t>
      </w:r>
      <w:r w:rsidR="00FF371F">
        <w:t xml:space="preserve">used </w:t>
      </w:r>
      <w:r>
        <w:t>channels</w:t>
      </w:r>
      <w:r w:rsidR="00306175">
        <w:t xml:space="preserve"> (either 2 or 3 depending on</w:t>
      </w:r>
      <w:r>
        <w:t xml:space="preserve"> the </w:t>
      </w:r>
      <w:r w:rsidR="00306175">
        <w:t>scenario)</w:t>
      </w:r>
      <w:r>
        <w:t xml:space="preserve">. </w:t>
      </w:r>
      <w:bookmarkStart w:id="16" w:name="_Hlk53128210"/>
      <w:r>
        <w:t xml:space="preserve">In both </w:t>
      </w:r>
      <w:r w:rsidR="00306175">
        <w:t>scenarios</w:t>
      </w:r>
      <w:r>
        <w:t xml:space="preserve">, </w:t>
      </w:r>
      <w:r w:rsidR="004B2E96">
        <w:t>the</w:t>
      </w:r>
      <w:r>
        <w:t xml:space="preserve"> traffic arrival rate per </w:t>
      </w:r>
      <w:r w:rsidR="00421D5C">
        <w:t xml:space="preserve">UE </w:t>
      </w:r>
      <w:r>
        <w:t>is the same</w:t>
      </w:r>
      <w:r w:rsidR="00486EDC">
        <w:t xml:space="preserve">, thus </w:t>
      </w:r>
      <w:r w:rsidR="00421D5C">
        <w:t>the offered traffic per operator is the same in both cases</w:t>
      </w:r>
      <w:r w:rsidR="002B7335">
        <w:t>, regardless of the number of channels</w:t>
      </w:r>
      <w:r w:rsidR="00421D5C">
        <w:t>. The offered traffic is chosen so that Op#1 in the aligned case has 10%, 35% and 55% buffer occupancy.</w:t>
      </w:r>
      <w:bookmarkEnd w:id="16"/>
      <w:r w:rsidR="00421D5C">
        <w:t xml:space="preserve"> </w:t>
      </w:r>
      <w:r w:rsidR="00AC775D">
        <w:t>Both operators operate without LBT.</w:t>
      </w:r>
      <w:r w:rsidR="004B2E96">
        <w:t xml:space="preserve"> </w:t>
      </w:r>
      <w:r w:rsidR="00F256A1">
        <w:t>In</w:t>
      </w:r>
      <w:r w:rsidR="004B2E96">
        <w:t xml:space="preserve"> the UL, the transmit power per UE is the same in both scenarios. In the DL, the transmit power per </w:t>
      </w:r>
      <w:r>
        <w:t>channel is the same</w:t>
      </w:r>
      <w:r w:rsidR="004B2E96">
        <w:t xml:space="preserve"> for each operator, thus the total transmit power scales with the number of channels (2 or 3). We emphasize that this is a worst-case scenario, as typically an operator with a multi-channel AP would need to divide a total power budget across the number of used channels resulting in a lower per-channel power for the operator with 3 channels compared to 2.</w:t>
      </w:r>
    </w:p>
    <w:p w14:paraId="000C8878" w14:textId="41565177" w:rsidR="00FD72DA" w:rsidRDefault="00FD72DA" w:rsidP="001B57F5">
      <w:pPr>
        <w:pStyle w:val="BodyText"/>
      </w:pPr>
      <w:r w:rsidRPr="00A84D00">
        <w:fldChar w:fldCharType="begin"/>
      </w:r>
      <w:r w:rsidRPr="00486EDC">
        <w:instrText xml:space="preserve"> REF _Ref53066896 \h </w:instrText>
      </w:r>
      <w:r w:rsidR="00486EDC" w:rsidRPr="003C2819">
        <w:instrText xml:space="preserve"> \* MERGEFORMAT </w:instrText>
      </w:r>
      <w:r w:rsidRPr="00A84D00">
        <w:fldChar w:fldCharType="separate"/>
      </w:r>
      <w:r w:rsidR="00BE31F7" w:rsidRPr="003C2819">
        <w:rPr>
          <w:rFonts w:cs="Arial"/>
        </w:rPr>
        <w:t xml:space="preserve">Figure </w:t>
      </w:r>
      <w:r w:rsidR="00BE31F7">
        <w:rPr>
          <w:rFonts w:cs="Arial"/>
        </w:rPr>
        <w:t>5</w:t>
      </w:r>
      <w:r w:rsidRPr="00A84D00">
        <w:fldChar w:fldCharType="end"/>
      </w:r>
      <w:r>
        <w:t xml:space="preserve"> compares the performance between the aligned case (red/blue bars) and the misaligned case (yellow/cyan bars). Comparing the red/blue/yellow bars, one can see that Operator #1 is equally affected by Operator #2 regardless of whether Operator #2 uses two 2 GHz or three 1.6 GHz channels. Hence, there is no coexistence issue due to misaligned channels.</w:t>
      </w:r>
    </w:p>
    <w:p w14:paraId="4E47FA62" w14:textId="072AE2B4" w:rsidR="00FD72DA" w:rsidRDefault="00FD72DA" w:rsidP="001B57F5">
      <w:pPr>
        <w:pStyle w:val="BodyText"/>
      </w:pPr>
      <w:r>
        <w:t xml:space="preserve">The cyan bar indicates lower throughput for Operator #2 </w:t>
      </w:r>
      <w:r w:rsidR="00B26B11">
        <w:t xml:space="preserve">at </w:t>
      </w:r>
      <w:r>
        <w:t>low load in the misaligned channel case</w:t>
      </w:r>
      <w:r w:rsidR="00DD21E1">
        <w:t>.</w:t>
      </w:r>
      <w:r>
        <w:t xml:space="preserve"> </w:t>
      </w:r>
      <w:r w:rsidR="00DD21E1">
        <w:t>T</w:t>
      </w:r>
      <w:r>
        <w:t>his is expected since each user has access to only 1.6 GHz instead of 2 GHz, and thus the peak rate is lower. However,</w:t>
      </w:r>
      <w:r w:rsidR="00B26B11">
        <w:t xml:space="preserve"> this is compensated by </w:t>
      </w:r>
      <w:r w:rsidR="00421D5C">
        <w:t xml:space="preserve">lower buffer occupancy as shown in </w:t>
      </w:r>
      <w:r w:rsidR="00421D5C">
        <w:fldChar w:fldCharType="begin"/>
      </w:r>
      <w:r w:rsidR="00421D5C">
        <w:instrText xml:space="preserve"> REF _Ref53135284 \h </w:instrText>
      </w:r>
      <w:r w:rsidR="00421D5C">
        <w:fldChar w:fldCharType="separate"/>
      </w:r>
      <w:r w:rsidR="00BE31F7" w:rsidRPr="003C2819">
        <w:rPr>
          <w:rFonts w:cs="Arial"/>
        </w:rPr>
        <w:t xml:space="preserve">Figure </w:t>
      </w:r>
      <w:r w:rsidR="00BE31F7">
        <w:rPr>
          <w:rFonts w:cs="Arial"/>
          <w:noProof/>
        </w:rPr>
        <w:t>6</w:t>
      </w:r>
      <w:r w:rsidR="00421D5C">
        <w:fldChar w:fldCharType="end"/>
      </w:r>
      <w:r w:rsidR="00B26B11">
        <w:t xml:space="preserve"> for Operator 2's network due to </w:t>
      </w:r>
      <w:r w:rsidR="00486EDC">
        <w:t xml:space="preserve">the ability to </w:t>
      </w:r>
      <w:r w:rsidR="00B26B11">
        <w:t xml:space="preserve">access 4.8 GHz </w:t>
      </w:r>
      <w:r w:rsidR="00486EDC">
        <w:t>of spectrum</w:t>
      </w:r>
      <w:r w:rsidR="00B26B11" w:rsidRPr="00DA36F4">
        <w:t xml:space="preserve"> </w:t>
      </w:r>
      <w:r w:rsidR="00B26B11">
        <w:t>instead of 4 GHz.</w:t>
      </w:r>
      <w:r w:rsidR="005A6788">
        <w:t xml:space="preserve"> This results in larger served traffic (system throughput) for Operator 2's network.</w:t>
      </w:r>
    </w:p>
    <w:p w14:paraId="7D56DBD7" w14:textId="77777777" w:rsidR="00B94C84" w:rsidRDefault="00B94C84" w:rsidP="001B57F5">
      <w:pPr>
        <w:pStyle w:val="BodyText"/>
      </w:pPr>
    </w:p>
    <w:p w14:paraId="65599050" w14:textId="5DB2DDE7" w:rsidR="001B57F5" w:rsidRDefault="00FD72DA" w:rsidP="00FD72DA">
      <w:pPr>
        <w:pStyle w:val="BodyText"/>
        <w:keepNext/>
        <w:tabs>
          <w:tab w:val="center" w:pos="2160"/>
          <w:tab w:val="center" w:pos="6840"/>
        </w:tabs>
        <w:spacing w:after="0"/>
        <w:jc w:val="left"/>
        <w:rPr>
          <w:noProof/>
        </w:rPr>
      </w:pPr>
      <w:r>
        <w:rPr>
          <w:noProof/>
        </w:rPr>
        <w:tab/>
      </w:r>
      <w:r w:rsidR="245E8754">
        <w:rPr>
          <w:noProof/>
        </w:rPr>
        <w:drawing>
          <wp:inline distT="0" distB="0" distL="0" distR="0" wp14:anchorId="62E497C4" wp14:editId="3B11013B">
            <wp:extent cx="2971073" cy="1938528"/>
            <wp:effectExtent l="0" t="0" r="0"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pic:nvPicPr>
                  <pic:blipFill>
                    <a:blip r:embed="rId17">
                      <a:extLst>
                        <a:ext uri="{28A0092B-C50C-407E-A947-70E740481C1C}">
                          <a14:useLocalDpi xmlns:a14="http://schemas.microsoft.com/office/drawing/2010/main" val="0"/>
                        </a:ext>
                      </a:extLst>
                    </a:blip>
                    <a:srcRect b="6585"/>
                    <a:stretch>
                      <a:fillRect/>
                    </a:stretch>
                  </pic:blipFill>
                  <pic:spPr>
                    <a:xfrm>
                      <a:off x="0" y="0"/>
                      <a:ext cx="2971073" cy="1938528"/>
                    </a:xfrm>
                    <a:prstGeom prst="rect">
                      <a:avLst/>
                    </a:prstGeom>
                  </pic:spPr>
                </pic:pic>
              </a:graphicData>
            </a:graphic>
          </wp:inline>
        </w:drawing>
      </w:r>
      <w:r>
        <w:rPr>
          <w:noProof/>
        </w:rPr>
        <w:drawing>
          <wp:inline distT="0" distB="0" distL="0" distR="0" wp14:anchorId="1780702F" wp14:editId="1775EFF8">
            <wp:extent cx="2971619" cy="1945843"/>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18">
                      <a:extLst>
                        <a:ext uri="{28A0092B-C50C-407E-A947-70E740481C1C}">
                          <a14:useLocalDpi xmlns:a14="http://schemas.microsoft.com/office/drawing/2010/main" val="0"/>
                        </a:ext>
                      </a:extLst>
                    </a:blip>
                    <a:srcRect b="6661"/>
                    <a:stretch>
                      <a:fillRect/>
                    </a:stretch>
                  </pic:blipFill>
                  <pic:spPr>
                    <a:xfrm>
                      <a:off x="0" y="0"/>
                      <a:ext cx="2971619" cy="1945843"/>
                    </a:xfrm>
                    <a:prstGeom prst="rect">
                      <a:avLst/>
                    </a:prstGeom>
                  </pic:spPr>
                </pic:pic>
              </a:graphicData>
            </a:graphic>
          </wp:inline>
        </w:drawing>
      </w:r>
    </w:p>
    <w:p w14:paraId="2CE498D1" w14:textId="37061271" w:rsidR="00FD72DA" w:rsidRDefault="00FD72DA" w:rsidP="00C777FC">
      <w:pPr>
        <w:pStyle w:val="BodyText"/>
        <w:keepNext/>
        <w:tabs>
          <w:tab w:val="center" w:pos="2160"/>
          <w:tab w:val="center" w:pos="6840"/>
        </w:tabs>
        <w:spacing w:after="0"/>
        <w:jc w:val="left"/>
        <w:rPr>
          <w:noProof/>
        </w:rPr>
      </w:pPr>
      <w:r w:rsidRPr="00C777FC">
        <w:rPr>
          <w:noProof/>
        </w:rPr>
        <w:tab/>
        <w:t>(</w:t>
      </w:r>
      <w:r>
        <w:rPr>
          <w:noProof/>
        </w:rPr>
        <w:t>a)</w:t>
      </w:r>
      <w:r>
        <w:rPr>
          <w:noProof/>
        </w:rPr>
        <w:tab/>
        <w:t>(b)</w:t>
      </w:r>
    </w:p>
    <w:p w14:paraId="62797B37" w14:textId="6C777D99" w:rsidR="00FD72DA" w:rsidRPr="003C2819" w:rsidRDefault="00FD72DA" w:rsidP="0058144E">
      <w:pPr>
        <w:pStyle w:val="Caption"/>
        <w:jc w:val="center"/>
        <w:rPr>
          <w:rFonts w:cs="Arial"/>
        </w:rPr>
      </w:pPr>
      <w:bookmarkStart w:id="17" w:name="_Ref53066896"/>
      <w:r w:rsidRPr="003C2819">
        <w:rPr>
          <w:rFonts w:ascii="Arial" w:hAnsi="Arial" w:cs="Arial"/>
        </w:rPr>
        <w:t xml:space="preserve">Figure </w:t>
      </w:r>
      <w:r>
        <w:rPr>
          <w:rFonts w:ascii="Arial" w:hAnsi="Arial" w:cs="Arial"/>
        </w:rPr>
        <w:fldChar w:fldCharType="begin"/>
      </w:r>
      <w:r w:rsidRPr="00E216C4">
        <w:rPr>
          <w:rFonts w:ascii="Arial" w:hAnsi="Arial" w:cs="Arial"/>
        </w:rPr>
        <w:instrText xml:space="preserve"> SEQ Figure \* ARABIC </w:instrText>
      </w:r>
      <w:r>
        <w:rPr>
          <w:rFonts w:ascii="Arial" w:hAnsi="Arial" w:cs="Arial"/>
        </w:rPr>
        <w:fldChar w:fldCharType="separate"/>
      </w:r>
      <w:r w:rsidR="00BE31F7">
        <w:rPr>
          <w:rFonts w:ascii="Arial" w:hAnsi="Arial" w:cs="Arial"/>
          <w:noProof/>
        </w:rPr>
        <w:t>5</w:t>
      </w:r>
      <w:r>
        <w:rPr>
          <w:rFonts w:ascii="Arial" w:hAnsi="Arial" w:cs="Arial"/>
        </w:rPr>
        <w:fldChar w:fldCharType="end"/>
      </w:r>
      <w:bookmarkEnd w:id="17"/>
      <w:r w:rsidRPr="003C2819">
        <w:rPr>
          <w:rFonts w:ascii="Arial" w:hAnsi="Arial" w:cs="Arial"/>
        </w:rPr>
        <w:t>: Mean user throughput for different offered load points for (a) Downlink, and (b) Uplink.</w:t>
      </w:r>
    </w:p>
    <w:p w14:paraId="01341AFF" w14:textId="31F7DAE8" w:rsidR="00421D5C" w:rsidRDefault="1D90FC14" w:rsidP="003C2819">
      <w:pPr>
        <w:pStyle w:val="BodyText"/>
        <w:jc w:val="center"/>
      </w:pPr>
      <w:r>
        <w:rPr>
          <w:noProof/>
        </w:rPr>
        <w:drawing>
          <wp:inline distT="0" distB="0" distL="0" distR="0" wp14:anchorId="712DBCB3" wp14:editId="1795B700">
            <wp:extent cx="2907906" cy="2006600"/>
            <wp:effectExtent l="0" t="0" r="698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19">
                      <a:extLst>
                        <a:ext uri="{53640926-AAD7-44D8-BBD7-CCE9431645EC}">
                          <a14:shadowObscured xmlns:arto="http://schemas.microsoft.com/office/word/2006/arto" xmlns:a14="http://schemas.microsoft.com/office/drawing/2010/main" xmlns:a16="http://schemas.microsoft.com/office/drawing/2014/main" xmlns:w="http://schemas.openxmlformats.org/wordprocessingml/2006/main" xmlns:w10="urn:schemas-microsoft-com:office:word" xmlns:v="urn:schemas-microsoft-com:vml" xmlns:o="urn:schemas-microsoft-com:office:office" xmlns=""/>
                        </a:ext>
                      </a:extLst>
                    </a:blip>
                    <a:srcRect b="7331"/>
                    <a:stretch>
                      <a:fillRect/>
                    </a:stretch>
                  </pic:blipFill>
                  <pic:spPr>
                    <a:xfrm>
                      <a:off x="0" y="0"/>
                      <a:ext cx="2907906" cy="2006600"/>
                    </a:xfrm>
                    <a:prstGeom prst="rect">
                      <a:avLst/>
                    </a:prstGeom>
                  </pic:spPr>
                </pic:pic>
              </a:graphicData>
            </a:graphic>
          </wp:inline>
        </w:drawing>
      </w:r>
    </w:p>
    <w:p w14:paraId="2CE87900" w14:textId="08F5D65F" w:rsidR="00421D5C" w:rsidRPr="003C2819" w:rsidRDefault="00421D5C" w:rsidP="00FF0857">
      <w:pPr>
        <w:pStyle w:val="Caption"/>
        <w:jc w:val="center"/>
        <w:rPr>
          <w:rFonts w:ascii="Arial" w:hAnsi="Arial" w:cs="Arial"/>
        </w:rPr>
      </w:pPr>
      <w:bookmarkStart w:id="18" w:name="_Ref53135284"/>
      <w:r w:rsidRPr="003C2819">
        <w:rPr>
          <w:rFonts w:ascii="Arial" w:hAnsi="Arial" w:cs="Arial"/>
        </w:rPr>
        <w:t xml:space="preserve">Figure </w:t>
      </w:r>
      <w:r>
        <w:rPr>
          <w:rFonts w:ascii="Arial" w:hAnsi="Arial" w:cs="Arial"/>
        </w:rPr>
        <w:fldChar w:fldCharType="begin"/>
      </w:r>
      <w:r w:rsidRPr="00E612C8">
        <w:rPr>
          <w:rFonts w:ascii="Arial" w:hAnsi="Arial" w:cs="Arial"/>
        </w:rPr>
        <w:instrText xml:space="preserve"> SEQ Figure \* ARABIC </w:instrText>
      </w:r>
      <w:r>
        <w:rPr>
          <w:rFonts w:ascii="Arial" w:hAnsi="Arial" w:cs="Arial"/>
        </w:rPr>
        <w:fldChar w:fldCharType="separate"/>
      </w:r>
      <w:r w:rsidR="00BE31F7">
        <w:rPr>
          <w:rFonts w:ascii="Arial" w:hAnsi="Arial" w:cs="Arial"/>
          <w:noProof/>
        </w:rPr>
        <w:t>6</w:t>
      </w:r>
      <w:r>
        <w:rPr>
          <w:rFonts w:ascii="Arial" w:hAnsi="Arial" w:cs="Arial"/>
        </w:rPr>
        <w:fldChar w:fldCharType="end"/>
      </w:r>
      <w:bookmarkEnd w:id="18"/>
      <w:r w:rsidRPr="003C2819">
        <w:rPr>
          <w:rFonts w:ascii="Arial" w:hAnsi="Arial" w:cs="Arial"/>
        </w:rPr>
        <w:t>: Combined DL and UL mean buffer occupancy for different offered load points.</w:t>
      </w:r>
    </w:p>
    <w:p w14:paraId="5A5A0E70" w14:textId="77777777" w:rsidR="00421D5C" w:rsidRDefault="00421D5C" w:rsidP="001B57F5">
      <w:pPr>
        <w:pStyle w:val="BodyText"/>
      </w:pPr>
    </w:p>
    <w:p w14:paraId="1631C8C5" w14:textId="57B8AD6F" w:rsidR="006465E6" w:rsidRDefault="006465E6" w:rsidP="001B57F5">
      <w:pPr>
        <w:pStyle w:val="BodyText"/>
      </w:pPr>
      <w:r>
        <w:t xml:space="preserve">Based on the above analysis </w:t>
      </w:r>
      <w:r w:rsidR="00C777FC">
        <w:t xml:space="preserve">and discussion </w:t>
      </w:r>
      <w:r>
        <w:t>we propose the following</w:t>
      </w:r>
    </w:p>
    <w:p w14:paraId="2F514ABB" w14:textId="69C0FAD5" w:rsidR="006465E6" w:rsidRDefault="006465E6" w:rsidP="003C2819">
      <w:pPr>
        <w:pStyle w:val="Proposal"/>
      </w:pPr>
      <w:bookmarkStart w:id="19" w:name="_Toc53776183"/>
      <w:r>
        <w:lastRenderedPageBreak/>
        <w:t>Capture the following observation in TR 38.808: It is beneficial to define NR channelization to allow full utilization of the various regional frequency allocations around the world.</w:t>
      </w:r>
      <w:r w:rsidRPr="006465E6">
        <w:t xml:space="preserve"> </w:t>
      </w:r>
      <w:r>
        <w:t xml:space="preserve">It is not necessary to align NR channelization </w:t>
      </w:r>
      <w:r w:rsidR="00C777FC">
        <w:t xml:space="preserve">with IEEE </w:t>
      </w:r>
      <w:r>
        <w:t>802.11ad channelization from a coexistence point of view.</w:t>
      </w:r>
      <w:bookmarkEnd w:id="19"/>
    </w:p>
    <w:p w14:paraId="3463F685" w14:textId="77777777" w:rsidR="006465E6" w:rsidRPr="00C777FC" w:rsidRDefault="006465E6" w:rsidP="003C2819">
      <w:pPr>
        <w:pStyle w:val="BodyText"/>
      </w:pPr>
    </w:p>
    <w:p w14:paraId="32E635ED" w14:textId="70FD7C03" w:rsidR="001D2CDE" w:rsidRDefault="001D2CDE" w:rsidP="003C2819">
      <w:pPr>
        <w:pStyle w:val="Heading2"/>
      </w:pPr>
      <w:bookmarkStart w:id="20" w:name="_Toc53775886"/>
      <w:r>
        <w:t>2.2</w:t>
      </w:r>
      <w:r>
        <w:tab/>
        <w:t>Channel bandwidth selection</w:t>
      </w:r>
      <w:bookmarkEnd w:id="20"/>
    </w:p>
    <w:p w14:paraId="521B293E" w14:textId="57A5B74D" w:rsidR="00DA787C" w:rsidRDefault="00172EC9" w:rsidP="00DA787C">
      <w:pPr>
        <w:pStyle w:val="BodyText"/>
      </w:pPr>
      <w:r>
        <w:t>As shown in the previous section, the</w:t>
      </w:r>
      <w:r w:rsidR="00DA787C" w:rsidRPr="00EA0A41">
        <w:t xml:space="preserve"> frequency range of 57 – 71 GHz provides a large amount of spectrum for </w:t>
      </w:r>
      <w:r w:rsidR="007D45A7">
        <w:t xml:space="preserve">NR </w:t>
      </w:r>
      <w:r w:rsidR="00DA787C" w:rsidRPr="00EA0A41">
        <w:t>operations. A system bandwidth of larger than the currently supported 400 MHz can be envisioned. However, to optimize NR operations for different deployment and use cases in this frequency range, the SI and WI should consider and incorporate system designs and parameters that are beneficial for the different use case archetypes.</w:t>
      </w:r>
    </w:p>
    <w:p w14:paraId="065C90E0" w14:textId="489DB105" w:rsidR="00A0528D" w:rsidRDefault="006D68D0" w:rsidP="00DA787C">
      <w:pPr>
        <w:pStyle w:val="BodyText"/>
      </w:pPr>
      <w:r>
        <w:t>Several companies have taken the IEEE 802.11ad channel bandwidth of 2.16 GHz as a starting point for NR operation in the 52.6</w:t>
      </w:r>
      <w:r w:rsidR="006E4D37">
        <w:t xml:space="preserve"> </w:t>
      </w:r>
      <w:r>
        <w:t>–</w:t>
      </w:r>
      <w:r w:rsidR="006E4D37">
        <w:t xml:space="preserve"> </w:t>
      </w:r>
      <w:r>
        <w:t xml:space="preserve">71 GHz </w:t>
      </w:r>
      <w:r w:rsidR="009C2085">
        <w:t xml:space="preserve">frequency range. </w:t>
      </w:r>
      <w:r w:rsidR="00C647A4">
        <w:t>There further appear</w:t>
      </w:r>
      <w:r w:rsidR="00B16C92">
        <w:t>s</w:t>
      </w:r>
      <w:r w:rsidR="00C647A4">
        <w:t xml:space="preserve"> to </w:t>
      </w:r>
      <w:r w:rsidR="00B16C92">
        <w:t xml:space="preserve">be </w:t>
      </w:r>
      <w:r w:rsidR="00C647A4">
        <w:t xml:space="preserve">misconception that </w:t>
      </w:r>
      <w:r w:rsidR="00A87BE6">
        <w:t xml:space="preserve">adopting the same channel bandwidth </w:t>
      </w:r>
      <w:r w:rsidR="00B16C92">
        <w:t xml:space="preserve">is </w:t>
      </w:r>
      <w:r w:rsidR="00C240F6">
        <w:t xml:space="preserve">necessary </w:t>
      </w:r>
      <w:r w:rsidR="00497E6D">
        <w:t xml:space="preserve">from a </w:t>
      </w:r>
      <w:r w:rsidR="00C240F6">
        <w:t xml:space="preserve">coexistence </w:t>
      </w:r>
      <w:r w:rsidR="00497E6D">
        <w:t>perspective</w:t>
      </w:r>
      <w:r w:rsidR="00C240F6">
        <w:t xml:space="preserve">. </w:t>
      </w:r>
      <w:r w:rsidR="00172EC9">
        <w:t xml:space="preserve">From </w:t>
      </w:r>
      <w:r w:rsidR="00497E6D">
        <w:t xml:space="preserve">both a coexistence and </w:t>
      </w:r>
      <w:r w:rsidR="00172EC9">
        <w:t xml:space="preserve">a performance point of view, we provided evidence </w:t>
      </w:r>
      <w:r w:rsidR="00497E6D">
        <w:t xml:space="preserve">to the contrary </w:t>
      </w:r>
      <w:r w:rsidR="00172EC9">
        <w:t>in the previous section. Here we consider additional aspects of this misconception, and show in the</w:t>
      </w:r>
      <w:r w:rsidR="00A579B9">
        <w:t xml:space="preserve"> following that </w:t>
      </w:r>
      <w:r w:rsidR="005064F4">
        <w:t xml:space="preserve"> </w:t>
      </w:r>
    </w:p>
    <w:p w14:paraId="08B62014" w14:textId="4D55F6A0" w:rsidR="0080595B" w:rsidRPr="001B36D6" w:rsidRDefault="0080595B" w:rsidP="00F94015">
      <w:pPr>
        <w:pStyle w:val="Observation"/>
        <w:tabs>
          <w:tab w:val="left" w:pos="1530"/>
        </w:tabs>
        <w:overflowPunct/>
        <w:autoSpaceDE/>
        <w:autoSpaceDN/>
        <w:adjustRightInd/>
        <w:spacing w:line="259" w:lineRule="auto"/>
        <w:ind w:left="1530" w:hanging="1530"/>
        <w:textAlignment w:val="auto"/>
      </w:pPr>
      <w:bookmarkStart w:id="21" w:name="_Toc46238822"/>
      <w:bookmarkStart w:id="22" w:name="_Toc46238842"/>
      <w:bookmarkStart w:id="23" w:name="_Toc46238933"/>
      <w:bookmarkStart w:id="24" w:name="_Toc46238968"/>
      <w:bookmarkStart w:id="25" w:name="_Toc46239031"/>
      <w:bookmarkStart w:id="26" w:name="_Toc46239066"/>
      <w:bookmarkStart w:id="27" w:name="_Toc46239099"/>
      <w:bookmarkStart w:id="28" w:name="_Toc46239768"/>
      <w:bookmarkStart w:id="29" w:name="_Toc46239897"/>
      <w:bookmarkStart w:id="30" w:name="_Toc46240390"/>
      <w:bookmarkStart w:id="31" w:name="_Toc46238823"/>
      <w:bookmarkStart w:id="32" w:name="_Toc46238843"/>
      <w:bookmarkStart w:id="33" w:name="_Toc46238934"/>
      <w:bookmarkStart w:id="34" w:name="_Toc46238969"/>
      <w:bookmarkStart w:id="35" w:name="_Toc46239032"/>
      <w:bookmarkStart w:id="36" w:name="_Toc46239067"/>
      <w:bookmarkStart w:id="37" w:name="_Toc46239100"/>
      <w:bookmarkStart w:id="38" w:name="_Toc46239769"/>
      <w:bookmarkStart w:id="39" w:name="_Toc46239898"/>
      <w:bookmarkStart w:id="40" w:name="_Toc46240391"/>
      <w:bookmarkStart w:id="41" w:name="_Toc46238824"/>
      <w:bookmarkStart w:id="42" w:name="_Toc46238844"/>
      <w:bookmarkStart w:id="43" w:name="_Toc46238935"/>
      <w:bookmarkStart w:id="44" w:name="_Toc46238970"/>
      <w:bookmarkStart w:id="45" w:name="_Toc46239033"/>
      <w:bookmarkStart w:id="46" w:name="_Toc46239068"/>
      <w:bookmarkStart w:id="47" w:name="_Toc46239101"/>
      <w:bookmarkStart w:id="48" w:name="_Toc46239770"/>
      <w:bookmarkStart w:id="49" w:name="_Toc46239899"/>
      <w:bookmarkStart w:id="50" w:name="_Toc46240392"/>
      <w:bookmarkStart w:id="51" w:name="_Toc46235349"/>
      <w:bookmarkStart w:id="52" w:name="_Toc46237859"/>
      <w:bookmarkStart w:id="53" w:name="_Toc46237892"/>
      <w:bookmarkStart w:id="54" w:name="_Toc46238825"/>
      <w:bookmarkStart w:id="55" w:name="_Toc46238845"/>
      <w:bookmarkStart w:id="56" w:name="_Toc46238936"/>
      <w:bookmarkStart w:id="57" w:name="_Toc46238971"/>
      <w:bookmarkStart w:id="58" w:name="_Toc46239034"/>
      <w:bookmarkStart w:id="59" w:name="_Toc46239069"/>
      <w:bookmarkStart w:id="60" w:name="_Toc46239102"/>
      <w:bookmarkStart w:id="61" w:name="_Toc46239771"/>
      <w:bookmarkStart w:id="62" w:name="_Toc46239900"/>
      <w:bookmarkStart w:id="63" w:name="_Toc46240393"/>
      <w:bookmarkStart w:id="64" w:name="_Toc53775918"/>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Pr>
          <w:lang w:val="en-GB"/>
        </w:rPr>
        <w:t xml:space="preserve">There is no regulatory or practical need to align the channel bandwidth (e.g., 2.16 GHz) with other technologies operating in the same 60 GHz </w:t>
      </w:r>
      <w:r w:rsidR="001B2BDC">
        <w:rPr>
          <w:lang w:val="en-GB"/>
        </w:rPr>
        <w:t xml:space="preserve">band </w:t>
      </w:r>
      <w:r>
        <w:rPr>
          <w:lang w:val="en-GB"/>
        </w:rPr>
        <w:t>for coexistence purposes</w:t>
      </w:r>
      <w:r w:rsidRPr="001078E8">
        <w:rPr>
          <w:lang w:val="en-GB"/>
        </w:rPr>
        <w:t>.</w:t>
      </w:r>
      <w:bookmarkEnd w:id="64"/>
      <w:r w:rsidRPr="001078E8">
        <w:rPr>
          <w:lang w:val="en-GB"/>
        </w:rPr>
        <w:t xml:space="preserve"> </w:t>
      </w:r>
    </w:p>
    <w:p w14:paraId="5A70ABE9" w14:textId="4687C315" w:rsidR="00646245" w:rsidRPr="00474D2A" w:rsidRDefault="0027510F" w:rsidP="00DA787C">
      <w:pPr>
        <w:pStyle w:val="BodyText"/>
      </w:pPr>
      <w:r>
        <w:t xml:space="preserve">Recognizing the necessity of beamformed transmissions to reach adequate link budget for reliable communications, most regulatory requirements for the 60 GHz bands place much </w:t>
      </w:r>
      <w:r w:rsidR="001B2BDC">
        <w:t xml:space="preserve">fewer </w:t>
      </w:r>
      <w:r>
        <w:t>restrictions than those placed on the 5 or 6 GHz</w:t>
      </w:r>
      <w:r w:rsidR="0070178E">
        <w:t xml:space="preserve"> </w:t>
      </w:r>
      <w:r w:rsidR="001B2BDC">
        <w:t xml:space="preserve">band </w:t>
      </w:r>
      <w:r w:rsidR="0070178E">
        <w:t xml:space="preserve">(see further details in the companion contribution </w:t>
      </w:r>
      <w:r w:rsidR="0070178E">
        <w:fldChar w:fldCharType="begin"/>
      </w:r>
      <w:r w:rsidR="0070178E">
        <w:instrText xml:space="preserve"> REF _Ref46231781 \r \h </w:instrText>
      </w:r>
      <w:r w:rsidR="0070178E">
        <w:fldChar w:fldCharType="separate"/>
      </w:r>
      <w:r w:rsidR="00BE31F7">
        <w:t>[4]</w:t>
      </w:r>
      <w:r w:rsidR="0070178E">
        <w:fldChar w:fldCharType="end"/>
      </w:r>
      <w:r w:rsidR="0070178E">
        <w:t>)</w:t>
      </w:r>
      <w:r>
        <w:t xml:space="preserve">. Among the various regulatory bodies from FCC to EC CEPT, the harmonized standard </w:t>
      </w:r>
      <w:r w:rsidRPr="00D739A6">
        <w:t>EN 302 567</w:t>
      </w:r>
      <w:r>
        <w:t xml:space="preserve"> for the CEPT c1 band (indoor operation in the EU market) imposes more requirements than any other. However, even </w:t>
      </w:r>
      <w:r w:rsidR="00D739A6" w:rsidRPr="00D739A6">
        <w:t xml:space="preserve">EN 302 567 does not define a nominal channel bandwidth or any channelization </w:t>
      </w:r>
      <w:r w:rsidR="006E4D37">
        <w:t xml:space="preserve">in </w:t>
      </w:r>
      <w:r w:rsidR="00D739A6" w:rsidRPr="00D739A6">
        <w:t>the 57</w:t>
      </w:r>
      <w:r w:rsidR="006E4D37">
        <w:t xml:space="preserve"> </w:t>
      </w:r>
      <w:r w:rsidR="00C834B6">
        <w:t xml:space="preserve">– </w:t>
      </w:r>
      <w:r w:rsidR="00D739A6" w:rsidRPr="00D739A6">
        <w:t>71</w:t>
      </w:r>
      <w:r w:rsidR="00C834B6">
        <w:t xml:space="preserve"> </w:t>
      </w:r>
      <w:r w:rsidR="00D739A6" w:rsidRPr="00D739A6">
        <w:t xml:space="preserve">GHz frequency range. In fact, a device </w:t>
      </w:r>
      <w:r w:rsidR="001B2BDC">
        <w:t>compliant</w:t>
      </w:r>
      <w:r w:rsidR="001B2BDC" w:rsidRPr="00D739A6">
        <w:t xml:space="preserve"> </w:t>
      </w:r>
      <w:r w:rsidR="00D739A6" w:rsidRPr="00D739A6">
        <w:t>with EN 302 567 can declare one or more nominal channel bandwidth</w:t>
      </w:r>
      <w:r w:rsidR="00C834B6">
        <w:t>s and</w:t>
      </w:r>
      <w:r w:rsidR="00D739A6" w:rsidRPr="00D739A6">
        <w:t xml:space="preserve">, for every declared nominal bandwidth, the device is required to support at least one mode of transmission where the transmission occupy at least 70% of the declared nominal channel bandwidth. </w:t>
      </w:r>
      <w:r w:rsidR="001A6F70">
        <w:t>As concluded in RAN1#102-e, t</w:t>
      </w:r>
      <w:r w:rsidR="001B2BDC">
        <w:t>his means</w:t>
      </w:r>
      <w:r w:rsidR="001B2BDC" w:rsidRPr="00D739A6">
        <w:t xml:space="preserve"> </w:t>
      </w:r>
      <w:r w:rsidR="00D739A6" w:rsidRPr="00D739A6">
        <w:t>that not all transmissions by the device must occupy more than 70% of declared nominal channel bandwidth</w:t>
      </w:r>
      <w:r w:rsidR="001B2BDC">
        <w:t>; i</w:t>
      </w:r>
      <w:r w:rsidR="00D739A6" w:rsidRPr="00D739A6">
        <w:t xml:space="preserve">t is enough if at least some transmissions by the device occupy more than 70% of the declared nominal bandwidth. </w:t>
      </w:r>
      <w:r w:rsidR="00A44C9E">
        <w:t xml:space="preserve">That is, </w:t>
      </w:r>
      <w:r w:rsidR="00A44C9E" w:rsidRPr="00A743A7">
        <w:rPr>
          <w:b/>
          <w:bCs/>
        </w:rPr>
        <w:t xml:space="preserve">any </w:t>
      </w:r>
      <w:r w:rsidR="00FC71AE" w:rsidRPr="00A743A7">
        <w:rPr>
          <w:b/>
          <w:bCs/>
        </w:rPr>
        <w:t xml:space="preserve">declared </w:t>
      </w:r>
      <w:r w:rsidR="00A44C9E" w:rsidRPr="00A743A7">
        <w:rPr>
          <w:b/>
          <w:bCs/>
        </w:rPr>
        <w:t xml:space="preserve">channel bandwidth is allowed and actual transmission bandwidth </w:t>
      </w:r>
      <w:r w:rsidR="00FC71AE" w:rsidRPr="00A743A7">
        <w:rPr>
          <w:b/>
          <w:bCs/>
        </w:rPr>
        <w:t>at any point in time may be different than the declared channel bandwidth</w:t>
      </w:r>
      <w:r w:rsidR="004A551B">
        <w:t xml:space="preserve"> according to the most stringent regulatory requirements.</w:t>
      </w:r>
    </w:p>
    <w:p w14:paraId="6D96E26D" w14:textId="6A88120B" w:rsidR="007C4164" w:rsidRDefault="007C4164" w:rsidP="00DA787C">
      <w:pPr>
        <w:pStyle w:val="BodyText"/>
      </w:pPr>
      <w:r>
        <w:t xml:space="preserve">We have provided extensive research and evaluation results in the companion contribution </w:t>
      </w:r>
      <w:r>
        <w:fldChar w:fldCharType="begin"/>
      </w:r>
      <w:r>
        <w:instrText xml:space="preserve"> REF _Ref46231781 \r \h </w:instrText>
      </w:r>
      <w:r>
        <w:fldChar w:fldCharType="separate"/>
      </w:r>
      <w:r w:rsidR="00BE31F7">
        <w:t>[4]</w:t>
      </w:r>
      <w:r>
        <w:fldChar w:fldCharType="end"/>
      </w:r>
      <w:r>
        <w:t xml:space="preserve"> to show that </w:t>
      </w:r>
      <w:r w:rsidR="00E16B06">
        <w:t xml:space="preserve">(1) </w:t>
      </w:r>
      <w:r w:rsidR="00C81AA9">
        <w:rPr>
          <w:lang w:val="en-GB"/>
        </w:rPr>
        <w:t xml:space="preserve">the </w:t>
      </w:r>
      <w:r w:rsidR="00C81AA9" w:rsidRPr="00A743A7">
        <w:rPr>
          <w:b/>
          <w:bCs/>
          <w:lang w:val="en-GB"/>
        </w:rPr>
        <w:t>probability of interference is very low</w:t>
      </w:r>
      <w:r w:rsidR="00C81AA9">
        <w:rPr>
          <w:lang w:val="en-GB"/>
        </w:rPr>
        <w:t xml:space="preserve"> due to high directional beamforming and high</w:t>
      </w:r>
      <w:r w:rsidR="00C81AA9" w:rsidRPr="003118EA">
        <w:rPr>
          <w:lang w:val="en-GB"/>
        </w:rPr>
        <w:t xml:space="preserve"> </w:t>
      </w:r>
      <w:r w:rsidR="00C81AA9" w:rsidRPr="0032439F">
        <w:rPr>
          <w:lang w:val="en-GB"/>
        </w:rPr>
        <w:t>attenuation</w:t>
      </w:r>
      <w:r w:rsidR="00996A26">
        <w:t xml:space="preserve">; </w:t>
      </w:r>
      <w:r w:rsidR="003E1AFC">
        <w:t xml:space="preserve">and </w:t>
      </w:r>
      <w:r w:rsidR="00996A26">
        <w:t xml:space="preserve">(2) </w:t>
      </w:r>
      <w:r w:rsidRPr="00A743A7">
        <w:rPr>
          <w:b/>
          <w:bCs/>
        </w:rPr>
        <w:t xml:space="preserve">LBT procedures do not provide </w:t>
      </w:r>
      <w:r w:rsidR="00940D84" w:rsidRPr="00A743A7">
        <w:rPr>
          <w:b/>
          <w:bCs/>
        </w:rPr>
        <w:t xml:space="preserve">any </w:t>
      </w:r>
      <w:r w:rsidR="00E96273" w:rsidRPr="00A743A7">
        <w:rPr>
          <w:b/>
          <w:bCs/>
        </w:rPr>
        <w:t>observable benefit</w:t>
      </w:r>
      <w:r w:rsidR="003E1AFC">
        <w:t>.</w:t>
      </w:r>
    </w:p>
    <w:p w14:paraId="2BC58B74" w14:textId="75290382" w:rsidR="002B2D49" w:rsidRDefault="004012DD" w:rsidP="00DA787C">
      <w:pPr>
        <w:pStyle w:val="BodyText"/>
      </w:pPr>
      <w:r>
        <w:t xml:space="preserve">For the sub-7 GHz bands, overlapping channels can cause unnecessarily higher interference between different communication nodes, </w:t>
      </w:r>
      <w:r w:rsidR="005E5669">
        <w:t xml:space="preserve">which was </w:t>
      </w:r>
      <w:r w:rsidR="00E3671A">
        <w:t xml:space="preserve">a mistake made in the </w:t>
      </w:r>
      <w:r w:rsidR="00B97697">
        <w:t xml:space="preserve">Wi-Fi channelization </w:t>
      </w:r>
      <w:r w:rsidR="00BA3226">
        <w:t xml:space="preserve">design for the </w:t>
      </w:r>
      <w:r w:rsidR="00E3671A">
        <w:t>2.4 GHz band</w:t>
      </w:r>
      <w:r>
        <w:t xml:space="preserve">. </w:t>
      </w:r>
      <w:r w:rsidR="00C02938">
        <w:t xml:space="preserve">In the channelization design for 5 GHz, IEEE imposed a </w:t>
      </w:r>
      <w:r w:rsidR="0078461B">
        <w:t xml:space="preserve">nonoverlapping channel principle </w:t>
      </w:r>
      <w:r w:rsidR="002531D0">
        <w:t>to avoid such interference issues.</w:t>
      </w:r>
      <w:r w:rsidR="00813D71">
        <w:t xml:space="preserve"> </w:t>
      </w:r>
      <w:r w:rsidR="00EE5A59">
        <w:t xml:space="preserve">However, this </w:t>
      </w:r>
      <w:r w:rsidR="00EE5A59" w:rsidRPr="00A743A7">
        <w:rPr>
          <w:b/>
          <w:bCs/>
        </w:rPr>
        <w:t>nonoverlapping channel principle has been abandoned by IEEE in the channelization designs for the 60 GHz band</w:t>
      </w:r>
      <w:r w:rsidR="00EE5A59">
        <w:t xml:space="preserve">. </w:t>
      </w:r>
      <w:r w:rsidR="00CC729E">
        <w:t xml:space="preserve">As shown in </w:t>
      </w:r>
      <w:r w:rsidR="00CC729E">
        <w:fldChar w:fldCharType="begin"/>
      </w:r>
      <w:r w:rsidR="00CC729E">
        <w:instrText xml:space="preserve"> REF _Ref46233016 \h </w:instrText>
      </w:r>
      <w:r w:rsidR="00CC729E">
        <w:fldChar w:fldCharType="separate"/>
      </w:r>
      <w:r w:rsidR="00BE31F7">
        <w:t>Figure</w:t>
      </w:r>
      <w:r w:rsidR="00BE31F7" w:rsidRPr="00731273">
        <w:t xml:space="preserve"> </w:t>
      </w:r>
      <w:r w:rsidR="00BE31F7">
        <w:rPr>
          <w:noProof/>
        </w:rPr>
        <w:t>7</w:t>
      </w:r>
      <w:r w:rsidR="00CC729E">
        <w:fldChar w:fldCharType="end"/>
      </w:r>
      <w:r w:rsidR="00CC729E">
        <w:t xml:space="preserve">, </w:t>
      </w:r>
      <w:r w:rsidR="00F40E0A">
        <w:t xml:space="preserve">it can be observed that channels with bandwidths &gt;2.16 GHz overlap with each other. </w:t>
      </w:r>
      <w:r w:rsidR="00C8097A">
        <w:t xml:space="preserve">Such channelization designs from IEEE further support our empirical results that interference </w:t>
      </w:r>
      <w:r w:rsidR="00CF641F">
        <w:t xml:space="preserve">does not </w:t>
      </w:r>
      <w:r w:rsidR="00D53E61">
        <w:t>play</w:t>
      </w:r>
      <w:r w:rsidR="00CF641F">
        <w:t xml:space="preserve"> an important factor </w:t>
      </w:r>
      <w:r w:rsidR="00902223">
        <w:t>in the 60 GHz system operations.</w:t>
      </w:r>
    </w:p>
    <w:p w14:paraId="5C05283A" w14:textId="558E2223" w:rsidR="002B2D49" w:rsidRDefault="2CAB4734" w:rsidP="002B2D49">
      <w:pPr>
        <w:pStyle w:val="BodyText"/>
        <w:jc w:val="center"/>
      </w:pPr>
      <w:r>
        <w:rPr>
          <w:noProof/>
        </w:rPr>
        <w:lastRenderedPageBreak/>
        <w:drawing>
          <wp:inline distT="0" distB="0" distL="0" distR="0" wp14:anchorId="0B757DB6" wp14:editId="08EEE4FB">
            <wp:extent cx="5029200" cy="3703320"/>
            <wp:effectExtent l="0" t="0" r="0" b="0"/>
            <wp:docPr id="9366941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pic:nvPicPr>
                  <pic:blipFill>
                    <a:blip r:embed="rId20">
                      <a:extLst>
                        <a:ext uri="{28A0092B-C50C-407E-A947-70E740481C1C}">
                          <a14:useLocalDpi xmlns:a14="http://schemas.microsoft.com/office/drawing/2010/main" val="0"/>
                        </a:ext>
                      </a:extLst>
                    </a:blip>
                    <a:stretch>
                      <a:fillRect/>
                    </a:stretch>
                  </pic:blipFill>
                  <pic:spPr>
                    <a:xfrm>
                      <a:off x="0" y="0"/>
                      <a:ext cx="5029200" cy="3703320"/>
                    </a:xfrm>
                    <a:prstGeom prst="rect">
                      <a:avLst/>
                    </a:prstGeom>
                  </pic:spPr>
                </pic:pic>
              </a:graphicData>
            </a:graphic>
          </wp:inline>
        </w:drawing>
      </w:r>
    </w:p>
    <w:p w14:paraId="52072504" w14:textId="0452C310" w:rsidR="005C54C8" w:rsidRDefault="005C54C8" w:rsidP="00A743A7">
      <w:pPr>
        <w:pStyle w:val="TF"/>
        <w:spacing w:before="120"/>
        <w:jc w:val="both"/>
        <w:rPr>
          <w:lang w:val="en-US"/>
        </w:rPr>
      </w:pPr>
      <w:bookmarkStart w:id="65" w:name="_Ref46233016"/>
      <w:r>
        <w:rPr>
          <w:lang w:val="en-US"/>
        </w:rPr>
        <w:t>Figure</w:t>
      </w:r>
      <w:r w:rsidRPr="00731273">
        <w:rPr>
          <w:lang w:val="en-US"/>
        </w:rPr>
        <w:t xml:space="preserve"> </w:t>
      </w:r>
      <w:r w:rsidRPr="00731273">
        <w:rPr>
          <w:lang w:val="en-US"/>
        </w:rPr>
        <w:fldChar w:fldCharType="begin"/>
      </w:r>
      <w:r w:rsidRPr="00731273">
        <w:rPr>
          <w:lang w:val="en-US"/>
        </w:rPr>
        <w:instrText xml:space="preserve"> SEQ Figure \* ARABIC </w:instrText>
      </w:r>
      <w:r w:rsidRPr="00731273">
        <w:rPr>
          <w:lang w:val="en-US"/>
        </w:rPr>
        <w:fldChar w:fldCharType="separate"/>
      </w:r>
      <w:r w:rsidR="00BE31F7">
        <w:rPr>
          <w:noProof/>
          <w:lang w:val="en-US"/>
        </w:rPr>
        <w:t>7</w:t>
      </w:r>
      <w:r w:rsidRPr="00731273">
        <w:rPr>
          <w:lang w:val="en-US"/>
        </w:rPr>
        <w:fldChar w:fldCharType="end"/>
      </w:r>
      <w:bookmarkEnd w:id="65"/>
      <w:r w:rsidRPr="00731273">
        <w:rPr>
          <w:lang w:val="en-US"/>
        </w:rPr>
        <w:t>:</w:t>
      </w:r>
      <w:r>
        <w:rPr>
          <w:lang w:val="en-US"/>
        </w:rPr>
        <w:t xml:space="preserve"> </w:t>
      </w:r>
      <w:r w:rsidR="002D01EF">
        <w:rPr>
          <w:rFonts w:hint="eastAsia"/>
          <w:bCs/>
        </w:rPr>
        <w:t xml:space="preserve">Channelization used by </w:t>
      </w:r>
      <w:r w:rsidR="002D01EF">
        <w:rPr>
          <w:rFonts w:eastAsia="SimSun" w:hint="eastAsia"/>
          <w:bCs/>
          <w:lang w:val="en-US" w:eastAsia="zh-CN"/>
        </w:rPr>
        <w:t>IEEE 802.11ay</w:t>
      </w:r>
      <w:r w:rsidR="009761E1">
        <w:rPr>
          <w:lang w:val="en-US"/>
        </w:rPr>
        <w:t xml:space="preserve">. </w:t>
      </w:r>
      <w:r w:rsidR="00474D2A">
        <w:rPr>
          <w:lang w:val="en-US"/>
        </w:rPr>
        <w:t>It can be observed that channels with bandwidths &gt;2.16 GHz overlap with each other.</w:t>
      </w:r>
    </w:p>
    <w:p w14:paraId="553B1099" w14:textId="77777777" w:rsidR="00B43FDA" w:rsidRPr="004370BD" w:rsidRDefault="00B43FDA" w:rsidP="00A743A7">
      <w:pPr>
        <w:pStyle w:val="TF"/>
        <w:spacing w:before="120"/>
        <w:jc w:val="both"/>
        <w:rPr>
          <w:lang w:val="en-US"/>
        </w:rPr>
      </w:pPr>
    </w:p>
    <w:p w14:paraId="770A126D" w14:textId="780850BB" w:rsidR="00DA787C" w:rsidRDefault="00DA787C" w:rsidP="00DA787C">
      <w:pPr>
        <w:pStyle w:val="BodyText"/>
      </w:pPr>
      <w:r w:rsidRPr="00EA0A41">
        <w:t xml:space="preserve">For indoor mobility use cases, path losses are generally lower because of limited environment sizes. For fixed deployment use cases, regulations generally allow/require </w:t>
      </w:r>
      <w:r>
        <w:t>large</w:t>
      </w:r>
      <w:r w:rsidRPr="00EA0A41">
        <w:t xml:space="preserve"> beamforming gains</w:t>
      </w:r>
      <w:r>
        <w:t>, i.e.,</w:t>
      </w:r>
      <w:r w:rsidRPr="00EA0A41">
        <w:t xml:space="preserve"> </w:t>
      </w:r>
      <w:r>
        <w:t>high</w:t>
      </w:r>
      <w:r w:rsidRPr="00EA0A41">
        <w:t xml:space="preserve"> EIRP. For both deployments and use cases, there can be high enough received powers to benefit from operating a large system bandwidth. As a reference for indoor use cases, the IEEE 802.11ad system operates a carrier bandwidth of 2.16 GHz. Further evolution in the 802.11ay specs introduced support of 4.32 </w:t>
      </w:r>
      <w:r>
        <w:t xml:space="preserve">GHz </w:t>
      </w:r>
      <w:r w:rsidRPr="00EA0A41">
        <w:t xml:space="preserve">carrier bandwidth. However, operating at such large bandwidths limits the useable ranges and user experience severely. It is observed that the </w:t>
      </w:r>
      <w:r>
        <w:t xml:space="preserve">802.11ad </w:t>
      </w:r>
      <w:r w:rsidRPr="00EA0A41">
        <w:t>system can only be operated within the same room and at a distance of no more than 10 m</w:t>
      </w:r>
      <w:r>
        <w:t xml:space="preserve"> </w:t>
      </w:r>
      <w:r>
        <w:fldChar w:fldCharType="begin"/>
      </w:r>
      <w:r>
        <w:instrText xml:space="preserve"> REF _Ref40272835 \r \h </w:instrText>
      </w:r>
      <w:r>
        <w:fldChar w:fldCharType="separate"/>
      </w:r>
      <w:r w:rsidR="00BE31F7">
        <w:t>[15]</w:t>
      </w:r>
      <w:r>
        <w:fldChar w:fldCharType="end"/>
      </w:r>
      <w:r>
        <w:fldChar w:fldCharType="begin"/>
      </w:r>
      <w:r>
        <w:instrText xml:space="preserve"> REF _Ref40272838 \r \h </w:instrText>
      </w:r>
      <w:r>
        <w:fldChar w:fldCharType="separate"/>
      </w:r>
      <w:r w:rsidR="00BE31F7">
        <w:t>[16]</w:t>
      </w:r>
      <w:r>
        <w:fldChar w:fldCharType="end"/>
      </w:r>
      <w:r>
        <w:fldChar w:fldCharType="begin"/>
      </w:r>
      <w:r>
        <w:instrText xml:space="preserve"> REF _Ref40272840 \r \h </w:instrText>
      </w:r>
      <w:r>
        <w:fldChar w:fldCharType="separate"/>
      </w:r>
      <w:r w:rsidR="00BE31F7">
        <w:t>[17]</w:t>
      </w:r>
      <w:r>
        <w:fldChar w:fldCharType="end"/>
      </w:r>
      <w:r w:rsidRPr="00EA0A41">
        <w:t xml:space="preserve">. </w:t>
      </w:r>
      <w:r w:rsidRPr="00A743A7">
        <w:rPr>
          <w:b/>
          <w:bCs/>
        </w:rPr>
        <w:t xml:space="preserve">Judging from the market </w:t>
      </w:r>
      <w:r w:rsidR="00820969">
        <w:rPr>
          <w:b/>
          <w:bCs/>
        </w:rPr>
        <w:t>experience</w:t>
      </w:r>
      <w:r w:rsidRPr="00A743A7">
        <w:rPr>
          <w:b/>
          <w:bCs/>
        </w:rPr>
        <w:t>, there is little evidence that supporting such a large bandwidth is beneficial</w:t>
      </w:r>
      <w:r w:rsidRPr="00EA0A41">
        <w:t>.</w:t>
      </w:r>
    </w:p>
    <w:p w14:paraId="22DA424A" w14:textId="7658672A" w:rsidR="00911BA6" w:rsidRDefault="00E563B5" w:rsidP="00DA787C">
      <w:pPr>
        <w:pStyle w:val="BodyText"/>
      </w:pPr>
      <w:r>
        <w:t xml:space="preserve">In fact, </w:t>
      </w:r>
      <w:r w:rsidRPr="00A743A7">
        <w:rPr>
          <w:b/>
          <w:bCs/>
        </w:rPr>
        <w:t>there are many technical problems associated with very large channel bandwidths</w:t>
      </w:r>
      <w:r>
        <w:t xml:space="preserve">. </w:t>
      </w:r>
      <w:r w:rsidRPr="00EA0A41">
        <w:t xml:space="preserve">Power amplifier (PA) performance generally degrades with large bandwidths. It is also difficult to realize linearization needed for higher order modulation over large bandwidths. Directivity of multiple antenna transmissions can vary across a wide bandwidth. All these factors limit the efficiency and impact the thermal aspects of the transmitters to achieve the desired EIRP targets. On the receiver side, we observe that noise figure, linearity and other receiver characteristics have significant dependence on the bandwidth. For instance, power consumption of the ADC can grow quadratically with the bandwidth, representing a large drain </w:t>
      </w:r>
      <w:r w:rsidR="007D7C84">
        <w:t xml:space="preserve">of </w:t>
      </w:r>
      <w:r w:rsidRPr="00EA0A41">
        <w:t>the mobile batteries.</w:t>
      </w:r>
      <w:r w:rsidR="000A33B7">
        <w:t xml:space="preserve"> Clearly battery drain in hand-held mobile devices is a key consideration demotivating very large channel bandwidths, unlike in fixed customer premises equipment which have a line power source.</w:t>
      </w:r>
    </w:p>
    <w:p w14:paraId="0269BB82" w14:textId="26EEEA6F" w:rsidR="00921083" w:rsidRDefault="00E62361" w:rsidP="003550F1">
      <w:pPr>
        <w:pStyle w:val="BodyText"/>
      </w:pPr>
      <w:r>
        <w:t xml:space="preserve">Furthermore, </w:t>
      </w:r>
      <w:r w:rsidR="0014350A">
        <w:t xml:space="preserve">a </w:t>
      </w:r>
      <w:r>
        <w:t xml:space="preserve">2.16 GHz </w:t>
      </w:r>
      <w:r w:rsidR="0014350A">
        <w:t>channel bandwidth</w:t>
      </w:r>
      <w:r>
        <w:t xml:space="preserve"> </w:t>
      </w:r>
      <w:r w:rsidR="00594F43">
        <w:t xml:space="preserve">is </w:t>
      </w:r>
      <w:r>
        <w:t xml:space="preserve">not compatible with 3GPP numerology. </w:t>
      </w:r>
      <w:r w:rsidR="00AC2B90" w:rsidRPr="00EA0A41">
        <w:t xml:space="preserve">Using the same 4096 FFT size as Rel-15 NR, the addressable transmission bandwidths for different sub-carrier spacings (SCS) are tabulated in </w:t>
      </w:r>
      <w:r w:rsidR="00A175B5">
        <w:fldChar w:fldCharType="begin"/>
      </w:r>
      <w:r w:rsidR="00A175B5">
        <w:instrText xml:space="preserve"> REF _Ref46235935 \h </w:instrText>
      </w:r>
      <w:r w:rsidR="00A175B5">
        <w:fldChar w:fldCharType="separate"/>
      </w:r>
      <w:r w:rsidR="00BE31F7">
        <w:t>Figure</w:t>
      </w:r>
      <w:r w:rsidR="00BE31F7" w:rsidRPr="00731273">
        <w:t xml:space="preserve"> </w:t>
      </w:r>
      <w:r w:rsidR="00BE31F7">
        <w:rPr>
          <w:noProof/>
        </w:rPr>
        <w:t>8</w:t>
      </w:r>
      <w:r w:rsidR="00A175B5">
        <w:fldChar w:fldCharType="end"/>
      </w:r>
      <w:r w:rsidR="00AC2B90">
        <w:t>.</w:t>
      </w:r>
      <w:r w:rsidR="00A175B5">
        <w:t xml:space="preserve"> </w:t>
      </w:r>
    </w:p>
    <w:p w14:paraId="4CD41C37" w14:textId="35F0EE4E" w:rsidR="00AC2B90" w:rsidRPr="004370BD" w:rsidRDefault="00AC2B90" w:rsidP="00AC2B90">
      <w:pPr>
        <w:pStyle w:val="TF"/>
        <w:spacing w:before="120"/>
        <w:rPr>
          <w:lang w:val="en-US"/>
        </w:rPr>
      </w:pPr>
      <w:bookmarkStart w:id="66" w:name="_Ref46235935"/>
      <w:r>
        <w:rPr>
          <w:lang w:val="en-US"/>
        </w:rPr>
        <w:t>Figure</w:t>
      </w:r>
      <w:r w:rsidRPr="00731273">
        <w:rPr>
          <w:lang w:val="en-US"/>
        </w:rPr>
        <w:t xml:space="preserve"> </w:t>
      </w:r>
      <w:r w:rsidRPr="00731273">
        <w:rPr>
          <w:lang w:val="en-US"/>
        </w:rPr>
        <w:fldChar w:fldCharType="begin"/>
      </w:r>
      <w:r w:rsidRPr="00731273">
        <w:rPr>
          <w:lang w:val="en-US"/>
        </w:rPr>
        <w:instrText xml:space="preserve"> SEQ Figure \* ARABIC </w:instrText>
      </w:r>
      <w:r w:rsidRPr="00731273">
        <w:rPr>
          <w:lang w:val="en-US"/>
        </w:rPr>
        <w:fldChar w:fldCharType="separate"/>
      </w:r>
      <w:r w:rsidR="00BE31F7">
        <w:rPr>
          <w:noProof/>
          <w:lang w:val="en-US"/>
        </w:rPr>
        <w:t>8</w:t>
      </w:r>
      <w:r w:rsidRPr="00731273">
        <w:rPr>
          <w:lang w:val="en-US"/>
        </w:rPr>
        <w:fldChar w:fldCharType="end"/>
      </w:r>
      <w:bookmarkEnd w:id="66"/>
      <w:r w:rsidRPr="00731273">
        <w:rPr>
          <w:lang w:val="en-US"/>
        </w:rPr>
        <w:t>:</w:t>
      </w:r>
      <w:r>
        <w:rPr>
          <w:lang w:val="en-US"/>
        </w:rPr>
        <w:t xml:space="preserve"> Maximum addressable system bandwidth assuming 4096 FFT size</w:t>
      </w:r>
    </w:p>
    <w:tbl>
      <w:tblPr>
        <w:tblStyle w:val="TableGrid"/>
        <w:tblW w:w="0" w:type="auto"/>
        <w:tblInd w:w="625" w:type="dxa"/>
        <w:tblLook w:val="04A0" w:firstRow="1" w:lastRow="0" w:firstColumn="1" w:lastColumn="0" w:noHBand="0" w:noVBand="1"/>
      </w:tblPr>
      <w:tblGrid>
        <w:gridCol w:w="2605"/>
        <w:gridCol w:w="1170"/>
        <w:gridCol w:w="1171"/>
        <w:gridCol w:w="1171"/>
        <w:gridCol w:w="1170"/>
      </w:tblGrid>
      <w:tr w:rsidR="00AC2B90" w:rsidRPr="003D63C4" w14:paraId="0007168F" w14:textId="77777777" w:rsidTr="00072047">
        <w:tc>
          <w:tcPr>
            <w:tcW w:w="2605" w:type="dxa"/>
            <w:vAlign w:val="center"/>
          </w:tcPr>
          <w:p w14:paraId="004B5AE7"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SCS [kHz]</w:t>
            </w:r>
          </w:p>
        </w:tc>
        <w:tc>
          <w:tcPr>
            <w:tcW w:w="1170" w:type="dxa"/>
            <w:vAlign w:val="center"/>
          </w:tcPr>
          <w:p w14:paraId="65EAF920"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120</w:t>
            </w:r>
          </w:p>
        </w:tc>
        <w:tc>
          <w:tcPr>
            <w:tcW w:w="1171" w:type="dxa"/>
            <w:vAlign w:val="center"/>
          </w:tcPr>
          <w:p w14:paraId="02643D16"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240</w:t>
            </w:r>
          </w:p>
        </w:tc>
        <w:tc>
          <w:tcPr>
            <w:tcW w:w="1171" w:type="dxa"/>
            <w:vAlign w:val="center"/>
          </w:tcPr>
          <w:p w14:paraId="5A882B8A"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480</w:t>
            </w:r>
          </w:p>
        </w:tc>
        <w:tc>
          <w:tcPr>
            <w:tcW w:w="1170" w:type="dxa"/>
            <w:vAlign w:val="center"/>
          </w:tcPr>
          <w:p w14:paraId="34FB2FF7" w14:textId="77777777" w:rsidR="00AC2B90" w:rsidRPr="003D63C4" w:rsidRDefault="00AC2B90" w:rsidP="00072047">
            <w:pPr>
              <w:pStyle w:val="BodyText"/>
              <w:spacing w:before="40" w:after="40"/>
              <w:jc w:val="center"/>
              <w:rPr>
                <w:rFonts w:cs="Arial"/>
              </w:rPr>
            </w:pPr>
            <w:r w:rsidRPr="003D63C4">
              <w:rPr>
                <w:rFonts w:cs="Arial"/>
                <w:color w:val="000000" w:themeColor="text1"/>
                <w:kern w:val="24"/>
              </w:rPr>
              <w:t>960</w:t>
            </w:r>
          </w:p>
        </w:tc>
      </w:tr>
      <w:tr w:rsidR="00AC2B90" w:rsidRPr="003D63C4" w14:paraId="1DAC922E" w14:textId="77777777" w:rsidTr="00072047">
        <w:tc>
          <w:tcPr>
            <w:tcW w:w="2605" w:type="dxa"/>
            <w:vAlign w:val="center"/>
          </w:tcPr>
          <w:p w14:paraId="2AF91B3B" w14:textId="77777777" w:rsidR="00AC2B90" w:rsidRPr="003D63C4" w:rsidRDefault="00AC2B90" w:rsidP="00072047">
            <w:pPr>
              <w:pStyle w:val="BodyText"/>
              <w:spacing w:before="40" w:after="40"/>
              <w:jc w:val="center"/>
              <w:rPr>
                <w:rFonts w:cs="Arial"/>
              </w:rPr>
            </w:pPr>
            <w:r>
              <w:rPr>
                <w:rFonts w:cs="Arial"/>
                <w:color w:val="000000" w:themeColor="text1"/>
                <w:kern w:val="24"/>
              </w:rPr>
              <w:t xml:space="preserve">Addressable BW </w:t>
            </w:r>
            <w:r w:rsidRPr="003D63C4">
              <w:rPr>
                <w:rFonts w:cs="Arial"/>
                <w:color w:val="000000" w:themeColor="text1"/>
                <w:kern w:val="24"/>
              </w:rPr>
              <w:t>[GHz]</w:t>
            </w:r>
          </w:p>
        </w:tc>
        <w:tc>
          <w:tcPr>
            <w:tcW w:w="1170" w:type="dxa"/>
            <w:vAlign w:val="center"/>
          </w:tcPr>
          <w:p w14:paraId="31967184" w14:textId="77777777" w:rsidR="00AC2B90" w:rsidRPr="003D63C4" w:rsidRDefault="00AC2B90" w:rsidP="00072047">
            <w:pPr>
              <w:pStyle w:val="BodyText"/>
              <w:spacing w:before="40" w:after="40"/>
              <w:jc w:val="center"/>
              <w:rPr>
                <w:rFonts w:cs="Arial"/>
              </w:rPr>
            </w:pPr>
            <w:r w:rsidRPr="003D63C4">
              <w:rPr>
                <w:rFonts w:eastAsiaTheme="minorEastAsia" w:cs="Arial"/>
                <w:color w:val="000000" w:themeColor="text1"/>
                <w:kern w:val="24"/>
              </w:rPr>
              <w:t>0.40</w:t>
            </w:r>
          </w:p>
        </w:tc>
        <w:tc>
          <w:tcPr>
            <w:tcW w:w="1171" w:type="dxa"/>
            <w:vAlign w:val="center"/>
          </w:tcPr>
          <w:p w14:paraId="738D9636" w14:textId="77777777" w:rsidR="00AC2B90" w:rsidRPr="003D63C4" w:rsidRDefault="00AC2B90" w:rsidP="00072047">
            <w:pPr>
              <w:pStyle w:val="BodyText"/>
              <w:spacing w:before="40" w:after="40"/>
              <w:jc w:val="center"/>
              <w:rPr>
                <w:rFonts w:cs="Arial"/>
              </w:rPr>
            </w:pPr>
            <w:r w:rsidRPr="003D63C4">
              <w:rPr>
                <w:rFonts w:eastAsiaTheme="minorEastAsia" w:cs="Arial"/>
                <w:color w:val="000000" w:themeColor="text1"/>
                <w:kern w:val="24"/>
              </w:rPr>
              <w:t>0.</w:t>
            </w:r>
            <w:r>
              <w:rPr>
                <w:rFonts w:eastAsiaTheme="minorEastAsia" w:cs="Arial"/>
                <w:color w:val="000000" w:themeColor="text1"/>
                <w:kern w:val="24"/>
              </w:rPr>
              <w:t>8</w:t>
            </w:r>
          </w:p>
        </w:tc>
        <w:tc>
          <w:tcPr>
            <w:tcW w:w="1171" w:type="dxa"/>
            <w:vAlign w:val="center"/>
          </w:tcPr>
          <w:p w14:paraId="19C89DD7" w14:textId="77777777" w:rsidR="00AC2B90" w:rsidRPr="003D63C4" w:rsidRDefault="00AC2B90" w:rsidP="00072047">
            <w:pPr>
              <w:pStyle w:val="BodyText"/>
              <w:spacing w:before="40" w:after="40"/>
              <w:jc w:val="center"/>
              <w:rPr>
                <w:rFonts w:cs="Arial"/>
              </w:rPr>
            </w:pPr>
            <w:r w:rsidRPr="003D63C4">
              <w:rPr>
                <w:rFonts w:eastAsiaTheme="minorEastAsia" w:cs="Arial"/>
                <w:color w:val="000000" w:themeColor="text1"/>
                <w:kern w:val="24"/>
              </w:rPr>
              <w:t>1.</w:t>
            </w:r>
            <w:r>
              <w:rPr>
                <w:rFonts w:eastAsiaTheme="minorEastAsia" w:cs="Arial"/>
                <w:color w:val="000000" w:themeColor="text1"/>
                <w:kern w:val="24"/>
              </w:rPr>
              <w:t>6</w:t>
            </w:r>
          </w:p>
        </w:tc>
        <w:tc>
          <w:tcPr>
            <w:tcW w:w="1170" w:type="dxa"/>
            <w:vAlign w:val="center"/>
          </w:tcPr>
          <w:p w14:paraId="405BFD46" w14:textId="77777777" w:rsidR="00AC2B90" w:rsidRPr="003D63C4" w:rsidRDefault="00AC2B90" w:rsidP="00072047">
            <w:pPr>
              <w:pStyle w:val="BodyText"/>
              <w:spacing w:before="40" w:after="40"/>
              <w:jc w:val="center"/>
              <w:rPr>
                <w:rFonts w:cs="Arial"/>
              </w:rPr>
            </w:pPr>
            <w:r w:rsidRPr="003D63C4">
              <w:rPr>
                <w:rFonts w:eastAsiaTheme="minorEastAsia" w:cs="Arial"/>
                <w:color w:val="000000" w:themeColor="text1"/>
                <w:kern w:val="24"/>
              </w:rPr>
              <w:t>3.</w:t>
            </w:r>
            <w:r>
              <w:rPr>
                <w:rFonts w:eastAsiaTheme="minorEastAsia" w:cs="Arial"/>
                <w:color w:val="000000" w:themeColor="text1"/>
                <w:kern w:val="24"/>
              </w:rPr>
              <w:t>2</w:t>
            </w:r>
          </w:p>
        </w:tc>
      </w:tr>
    </w:tbl>
    <w:p w14:paraId="22D1CCF7" w14:textId="77777777" w:rsidR="00AC2B90" w:rsidRDefault="00AC2B90" w:rsidP="00E62361">
      <w:pPr>
        <w:pStyle w:val="BodyText"/>
      </w:pPr>
    </w:p>
    <w:p w14:paraId="650B68AC" w14:textId="5CC5C2BE" w:rsidR="00921083" w:rsidRDefault="00921083" w:rsidP="00921083">
      <w:pPr>
        <w:pStyle w:val="BodyText"/>
      </w:pPr>
      <w:r>
        <w:t xml:space="preserve">For 120 kHz SCS, 400 MHz </w:t>
      </w:r>
      <w:r w:rsidR="00DC08C8">
        <w:t xml:space="preserve">bandwidth </w:t>
      </w:r>
      <w:r>
        <w:t>is addressable</w:t>
      </w:r>
      <w:r w:rsidR="00594F43">
        <w:t>, and f</w:t>
      </w:r>
      <w:r>
        <w:t xml:space="preserve">or 480 and 960 kHz SCS, 1.6 and 3.2 GHz bandwidths are addressable. 3GPP numerologies are designed in general to support around 77% </w:t>
      </w:r>
      <w:r w:rsidRPr="0096049A">
        <w:t>FFT utilization</w:t>
      </w:r>
      <w:r>
        <w:t xml:space="preserve">. As discussed in </w:t>
      </w:r>
      <w:r>
        <w:fldChar w:fldCharType="begin"/>
      </w:r>
      <w:r>
        <w:instrText xml:space="preserve"> REF _Ref46234418 \r \h </w:instrText>
      </w:r>
      <w:r>
        <w:fldChar w:fldCharType="separate"/>
      </w:r>
      <w:r w:rsidR="00BE31F7">
        <w:t>[5]</w:t>
      </w:r>
      <w:r>
        <w:fldChar w:fldCharType="end"/>
      </w:r>
      <w:r w:rsidR="006D6491">
        <w:t>:</w:t>
      </w:r>
      <w:r>
        <w:t xml:space="preserve"> “a</w:t>
      </w:r>
      <w:r w:rsidRPr="0096049A">
        <w:t>t a 2</w:t>
      </w:r>
      <w:r>
        <w:t xml:space="preserve"> </w:t>
      </w:r>
      <w:r w:rsidRPr="0096049A">
        <w:t xml:space="preserve">GHz nominal bandwidth, use of 480 kHz is difficult as it requires an FFT </w:t>
      </w:r>
      <w:r w:rsidRPr="0096049A">
        <w:lastRenderedPageBreak/>
        <w:t xml:space="preserve">utilization of 96.68%. </w:t>
      </w:r>
      <w:r w:rsidR="008F635A">
        <w:t xml:space="preserve">While </w:t>
      </w:r>
      <w:r w:rsidRPr="0096049A">
        <w:t>960 kHz may be used</w:t>
      </w:r>
      <w:r w:rsidR="008F635A">
        <w:t>,</w:t>
      </w:r>
      <w:r w:rsidRPr="0096049A">
        <w:t xml:space="preserve"> </w:t>
      </w:r>
      <w:r w:rsidR="008F635A">
        <w:t>t</w:t>
      </w:r>
      <w:r w:rsidRPr="0096049A">
        <w:t>he disadvantage is that the %FFT utilization in this case is very low at 48.34%.</w:t>
      </w:r>
      <w:r>
        <w:t xml:space="preserve">” That is, </w:t>
      </w:r>
      <w:r w:rsidRPr="0096049A">
        <w:rPr>
          <w:b/>
          <w:bCs/>
        </w:rPr>
        <w:t>forcing a 2.16 GHz channel bandwidth into the 3GPP numerology causes either implementation difficulty or excessive computation overhead</w:t>
      </w:r>
      <w:r>
        <w:t>.</w:t>
      </w:r>
    </w:p>
    <w:p w14:paraId="42E4F8D3" w14:textId="772C76B7" w:rsidR="00B17E30" w:rsidRPr="00A743A7" w:rsidRDefault="00B17E30" w:rsidP="00E62361">
      <w:pPr>
        <w:pStyle w:val="BodyText"/>
        <w:rPr>
          <w:sz w:val="18"/>
          <w:szCs w:val="18"/>
        </w:rPr>
      </w:pPr>
    </w:p>
    <w:p w14:paraId="515C9E0A" w14:textId="40EC99B9" w:rsidR="00257119" w:rsidRDefault="00172EC9" w:rsidP="003C2819">
      <w:pPr>
        <w:pStyle w:val="Proposal"/>
      </w:pPr>
      <w:bookmarkStart w:id="67" w:name="_Toc46239036"/>
      <w:bookmarkStart w:id="68" w:name="_Toc53776184"/>
      <w:r>
        <w:t xml:space="preserve">Capture the following observation in the TR: </w:t>
      </w:r>
      <w:r w:rsidR="000411DE">
        <w:t xml:space="preserve">Targeting </w:t>
      </w:r>
      <w:r w:rsidR="00257119">
        <w:t>2.16 GHz channel bandwidth results in low FFT utilization compared to Rel-15/16, causing larger computation overhead, and thus larger power consumption.</w:t>
      </w:r>
      <w:bookmarkEnd w:id="68"/>
    </w:p>
    <w:bookmarkEnd w:id="67"/>
    <w:p w14:paraId="4FCFFE25" w14:textId="37038E60" w:rsidR="00B40CD3" w:rsidRDefault="00DA787C" w:rsidP="00DA787C">
      <w:pPr>
        <w:pStyle w:val="BodyText"/>
      </w:pPr>
      <w:r w:rsidRPr="00EA0A41">
        <w:t xml:space="preserve">For outdoor mobility use cases, it is beneficial to restrict the transmission bandwidths to obtain adequate received signal to noise ratios for reliable system operations </w:t>
      </w:r>
      <w:r>
        <w:t>for</w:t>
      </w:r>
      <w:r w:rsidRPr="00EA0A41">
        <w:t xml:space="preserve"> </w:t>
      </w:r>
      <w:r>
        <w:t>a</w:t>
      </w:r>
      <w:r w:rsidRPr="00EA0A41">
        <w:t xml:space="preserve"> target </w:t>
      </w:r>
      <w:r>
        <w:t>site</w:t>
      </w:r>
      <w:r w:rsidRPr="00EA0A41">
        <w:t xml:space="preserve"> density. Region I regulation for 57 – 66 GHz stipulates mean EIRP limit of 40 dBm as well as a</w:t>
      </w:r>
      <w:r>
        <w:t xml:space="preserve"> maximum</w:t>
      </w:r>
      <w:r w:rsidRPr="00EA0A41">
        <w:t xml:space="preserve"> power spectral density of 23 dBm/</w:t>
      </w:r>
      <w:proofErr w:type="spellStart"/>
      <w:r w:rsidRPr="00EA0A41">
        <w:t>MHz.</w:t>
      </w:r>
      <w:proofErr w:type="spellEnd"/>
      <w:r w:rsidRPr="00EA0A41">
        <w:t xml:space="preserve"> Hence, a minimum of 50 MHz transmission bandwidth is needed to deploy transmissions at the allowed EIRP limit</w:t>
      </w:r>
      <w:r>
        <w:t xml:space="preserve"> and maximum PSD</w:t>
      </w:r>
      <w:r w:rsidRPr="00EA0A41">
        <w:t xml:space="preserve">. North America regulations for 57 – 71 GHz restrict the maximum conducted output power at 27 dBm if the emission bandwidth is at least 100 </w:t>
      </w:r>
      <w:proofErr w:type="spellStart"/>
      <w:r w:rsidRPr="00EA0A41">
        <w:t>MHz.</w:t>
      </w:r>
      <w:proofErr w:type="spellEnd"/>
      <w:r w:rsidRPr="00EA0A41">
        <w:t xml:space="preserve"> The maximum conducted output power is reduced proportionally with the emission bandwidth otherwise. Therefore, coverage can be optimized by a transmission of 100 </w:t>
      </w:r>
      <w:proofErr w:type="spellStart"/>
      <w:r w:rsidRPr="00EA0A41">
        <w:t>MHz.</w:t>
      </w:r>
      <w:proofErr w:type="spellEnd"/>
      <w:r w:rsidRPr="00EA0A41">
        <w:t xml:space="preserve"> To enable NR operation in the 57 – 71 GHz bands with greater range, mobility and user experience, it is necessary to address the trade-off between peak rate, coverage and robustness carefully in the 3GPP SI and WI. </w:t>
      </w:r>
      <w:r w:rsidR="008A05F5" w:rsidRPr="00EA0A41">
        <w:t xml:space="preserve">In summary, </w:t>
      </w:r>
      <w:r w:rsidR="008A05F5" w:rsidRPr="00A743A7">
        <w:rPr>
          <w:b/>
          <w:bCs/>
        </w:rPr>
        <w:t>NR operations in the frequency range of 57 – 71 GHz should enable a range of system bandwidths suitable for reliable and robust mobile use case in indoor as well as outdoor environments</w:t>
      </w:r>
      <w:r w:rsidR="008A05F5" w:rsidRPr="00EA0A41">
        <w:t>.</w:t>
      </w:r>
    </w:p>
    <w:p w14:paraId="23408C60" w14:textId="464D51C5" w:rsidR="00A903FE" w:rsidRPr="00521111" w:rsidRDefault="005A0988" w:rsidP="00A903FE">
      <w:pPr>
        <w:pStyle w:val="BodyText"/>
      </w:pPr>
      <w:r>
        <w:t xml:space="preserve">As shown in </w:t>
      </w:r>
      <w:r w:rsidR="00607D79">
        <w:fldChar w:fldCharType="begin"/>
      </w:r>
      <w:r w:rsidR="00607D79">
        <w:instrText xml:space="preserve"> REF _Ref46235935 \h </w:instrText>
      </w:r>
      <w:r w:rsidR="00607D79">
        <w:fldChar w:fldCharType="separate"/>
      </w:r>
      <w:r w:rsidR="00BE31F7">
        <w:t>Figure</w:t>
      </w:r>
      <w:r w:rsidR="00BE31F7" w:rsidRPr="00731273">
        <w:t xml:space="preserve"> </w:t>
      </w:r>
      <w:r w:rsidR="00BE31F7">
        <w:rPr>
          <w:noProof/>
        </w:rPr>
        <w:t>8</w:t>
      </w:r>
      <w:r w:rsidR="00607D79">
        <w:fldChar w:fldCharType="end"/>
      </w:r>
      <w:r w:rsidR="005D25F7">
        <w:t xml:space="preserve">, channel bandwidth up to 1.6 GHz can be realized with </w:t>
      </w:r>
      <w:r w:rsidR="00A877AF">
        <w:t>480 kHz</w:t>
      </w:r>
      <w:r w:rsidR="005D25F7">
        <w:t xml:space="preserve"> </w:t>
      </w:r>
      <w:r w:rsidR="00E34FCB">
        <w:t>SCS.</w:t>
      </w:r>
      <w:r w:rsidR="000754FF">
        <w:t xml:space="preserve"> </w:t>
      </w:r>
      <w:r w:rsidR="00832819">
        <w:t xml:space="preserve">To address even wider bandwidths, carrier aggregation can be used. </w:t>
      </w:r>
      <w:r w:rsidR="00A877AF">
        <w:t xml:space="preserve">Current NR specifications is written based on a maximum SCS of </w:t>
      </w:r>
      <m:oMath>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max</m:t>
            </m:r>
          </m:sub>
        </m:sSub>
        <m:r>
          <w:rPr>
            <w:rFonts w:ascii="Cambria Math" w:hAnsi="Cambria Math"/>
          </w:rPr>
          <m:t>=480</m:t>
        </m:r>
      </m:oMath>
      <w:r w:rsidR="00A877AF">
        <w:t xml:space="preserve"> kHz</w:t>
      </w:r>
      <w:r w:rsidR="00160866">
        <w:t xml:space="preserve"> and all timings are defined </w:t>
      </w:r>
      <w:r w:rsidR="008A486B">
        <w:t xml:space="preserve">using </w:t>
      </w:r>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=1/(∆</m:t>
        </m:r>
        <m:sSub>
          <m:sSubPr>
            <m:ctrlPr>
              <w:rPr>
                <w:rFonts w:ascii="Cambria Math" w:hAnsi="Cambria Math"/>
                <w:i/>
              </w:rPr>
            </m:ctrlPr>
          </m:sSubPr>
          <m:e>
            <m:r>
              <w:rPr>
                <w:rFonts w:ascii="Cambria Math" w:hAnsi="Cambria Math"/>
              </w:rPr>
              <m:t>f</m:t>
            </m:r>
          </m:e>
          <m:sub>
            <m:r>
              <w:rPr>
                <w:rFonts w:ascii="Cambria Math" w:hAnsi="Cambria Math"/>
              </w:rPr>
              <m:t>max</m:t>
            </m:r>
          </m:sub>
        </m:sSub>
        <m:r>
          <w:rPr>
            <w:rFonts w:ascii="Cambria Math" w:hAnsi="Cambria Math"/>
          </w:rPr>
          <m:t>⋅4096)</m:t>
        </m:r>
      </m:oMath>
      <w:r w:rsidR="008A486B">
        <w:t>.</w:t>
      </w:r>
      <w:r w:rsidR="00027A55">
        <w:t xml:space="preserve"> </w:t>
      </w:r>
      <w:r w:rsidR="00A877AF">
        <w:t xml:space="preserve">Adopting </w:t>
      </w:r>
      <w:r w:rsidR="00A4625B">
        <w:t>an even large</w:t>
      </w:r>
      <w:r w:rsidR="00E76521">
        <w:t>r</w:t>
      </w:r>
      <w:r w:rsidR="00A4625B">
        <w:t xml:space="preserve"> SCS will necessitate fundamental and comprehensive changes to the NR specifications. </w:t>
      </w:r>
      <w:r w:rsidR="00C81381">
        <w:t>In our view, such changes can only be justified with</w:t>
      </w:r>
      <w:r w:rsidR="00C17A5C">
        <w:t xml:space="preserve"> </w:t>
      </w:r>
      <w:r w:rsidR="00567C4D">
        <w:t xml:space="preserve">an </w:t>
      </w:r>
      <w:r w:rsidR="00C17A5C">
        <w:t>overwhelming benefit</w:t>
      </w:r>
      <w:r w:rsidR="00027A55">
        <w:t>-</w:t>
      </w:r>
      <w:r w:rsidR="00C17A5C">
        <w:t>over</w:t>
      </w:r>
      <w:r w:rsidR="00027A55">
        <w:t>-</w:t>
      </w:r>
      <w:r w:rsidR="00C17A5C">
        <w:t>cost</w:t>
      </w:r>
      <w:r w:rsidR="00027A55">
        <w:t xml:space="preserve"> ratio </w:t>
      </w:r>
      <w:r w:rsidR="00C17A5C">
        <w:t>assessment.</w:t>
      </w:r>
    </w:p>
    <w:p w14:paraId="40061719" w14:textId="103A428B" w:rsidR="00233F72" w:rsidRDefault="00233F72" w:rsidP="008A2C71">
      <w:pPr>
        <w:pStyle w:val="BodyText"/>
      </w:pPr>
      <w:r>
        <w:t xml:space="preserve">Based on </w:t>
      </w:r>
      <w:proofErr w:type="gramStart"/>
      <w:r w:rsidR="004829CE">
        <w:t>all of</w:t>
      </w:r>
      <w:proofErr w:type="gramEnd"/>
      <w:r w:rsidR="004829CE">
        <w:t xml:space="preserve"> </w:t>
      </w:r>
      <w:r>
        <w:t xml:space="preserve">the </w:t>
      </w:r>
      <w:r w:rsidR="004829CE">
        <w:t>above observations, we propose the following:</w:t>
      </w:r>
    </w:p>
    <w:p w14:paraId="64DD3BD6" w14:textId="72017570" w:rsidR="00C82B37" w:rsidRPr="00EA0A41" w:rsidRDefault="00F44AD8" w:rsidP="00A743A7">
      <w:pPr>
        <w:pStyle w:val="Proposal"/>
      </w:pPr>
      <w:bookmarkStart w:id="69" w:name="_Toc53776185"/>
      <w:r>
        <w:t xml:space="preserve">Consider </w:t>
      </w:r>
      <w:r w:rsidR="00FE729D">
        <w:t>channel bandwidth</w:t>
      </w:r>
      <w:r w:rsidR="00D737B3">
        <w:t>s</w:t>
      </w:r>
      <w:r w:rsidR="00FE729D">
        <w:t xml:space="preserve"> up to 1.6 GHz for NR operation in 52.6 to 71 GHz</w:t>
      </w:r>
      <w:r w:rsidR="00403087">
        <w:t>.</w:t>
      </w:r>
      <w:bookmarkEnd w:id="69"/>
    </w:p>
    <w:p w14:paraId="3B4116D8" w14:textId="3E316FE0" w:rsidR="008A2C71" w:rsidRDefault="00C02300" w:rsidP="008A2C71">
      <w:pPr>
        <w:pStyle w:val="Heading1"/>
      </w:pPr>
      <w:bookmarkStart w:id="70" w:name="_Toc46307392"/>
      <w:bookmarkStart w:id="71" w:name="_Toc47530170"/>
      <w:bookmarkStart w:id="72" w:name="_Toc53775887"/>
      <w:r>
        <w:t>3</w:t>
      </w:r>
      <w:r w:rsidR="008A2C71">
        <w:tab/>
      </w:r>
      <w:r w:rsidR="00DA787C">
        <w:t>S</w:t>
      </w:r>
      <w:r w:rsidR="008A2C71">
        <w:t>ub-carrier spacing</w:t>
      </w:r>
      <w:r w:rsidR="00DA787C">
        <w:t xml:space="preserve"> selection</w:t>
      </w:r>
      <w:bookmarkEnd w:id="70"/>
      <w:bookmarkEnd w:id="71"/>
      <w:bookmarkEnd w:id="72"/>
    </w:p>
    <w:p w14:paraId="4B163FF9" w14:textId="5E9919FE" w:rsidR="008A2C71" w:rsidRDefault="008A2C71" w:rsidP="008A2C71">
      <w:pPr>
        <w:pStyle w:val="BodyText"/>
      </w:pPr>
      <w:r w:rsidRPr="00EA0A41">
        <w:t xml:space="preserve">The frequency range of 57 – 71 GHz provides a large amount of spectrum for </w:t>
      </w:r>
      <w:r w:rsidR="008F635A">
        <w:t xml:space="preserve">NR </w:t>
      </w:r>
      <w:r w:rsidRPr="00EA0A41">
        <w:t xml:space="preserve">operations. </w:t>
      </w:r>
      <w:r>
        <w:t>However, o</w:t>
      </w:r>
      <w:r w:rsidRPr="0089600E">
        <w:t xml:space="preserve">peration on bands in </w:t>
      </w:r>
      <w:r>
        <w:t xml:space="preserve">this </w:t>
      </w:r>
      <w:r w:rsidRPr="0089600E">
        <w:t>frequenc</w:t>
      </w:r>
      <w:r>
        <w:t>y range</w:t>
      </w:r>
      <w:r w:rsidRPr="0089600E">
        <w:t xml:space="preserve"> </w:t>
      </w:r>
      <w:r>
        <w:t xml:space="preserve">are </w:t>
      </w:r>
      <w:r w:rsidRPr="0089600E">
        <w:t xml:space="preserve">limited by </w:t>
      </w:r>
      <w:r>
        <w:t>practical</w:t>
      </w:r>
      <w:r w:rsidRPr="0089600E">
        <w:t xml:space="preserve"> </w:t>
      </w:r>
      <w:r>
        <w:t xml:space="preserve">device </w:t>
      </w:r>
      <w:r w:rsidRPr="0089600E">
        <w:t>performance</w:t>
      </w:r>
      <w:r>
        <w:t>. F</w:t>
      </w:r>
      <w:r w:rsidRPr="0089600E">
        <w:t>or example, poor power amplifier (PA) efficiency and larger phase noise impairment, increased front-end insertion loss together with the low noise amplifier (LNA) and analog-to-digital converter (ADC) noise</w:t>
      </w:r>
      <w:r>
        <w:t xml:space="preserve"> present </w:t>
      </w:r>
      <w:proofErr w:type="gramStart"/>
      <w:r>
        <w:t>particular challenges</w:t>
      </w:r>
      <w:proofErr w:type="gramEnd"/>
      <w:r w:rsidRPr="0089600E">
        <w:t xml:space="preserve">. </w:t>
      </w:r>
      <w:r>
        <w:t xml:space="preserve">Furthermore, </w:t>
      </w:r>
      <w:r w:rsidRPr="00EA0A41">
        <w:t>to optimize NR operations for different deployment and use cases in this frequency range, the SI and WI should consider and incorporate system designs and parameters that are beneficial for the different use case archetypes</w:t>
      </w:r>
      <w:r>
        <w:t>. In this section, we provide our analysis on the various important factors that should be considered in the selection of sub-carrier spacings for NR operation in the 52.6 – 71 GHz range</w:t>
      </w:r>
      <w:r w:rsidR="00CA7E3B">
        <w:t xml:space="preserve"> including</w:t>
      </w:r>
    </w:p>
    <w:p w14:paraId="73AAC4BB" w14:textId="2D7A2918" w:rsidR="00553A2F" w:rsidRDefault="00553A2F" w:rsidP="004829CE">
      <w:pPr>
        <w:pStyle w:val="BodyText"/>
        <w:numPr>
          <w:ilvl w:val="0"/>
          <w:numId w:val="16"/>
        </w:numPr>
      </w:pPr>
      <w:r>
        <w:t>Coverage considerations and BWP switching</w:t>
      </w:r>
    </w:p>
    <w:p w14:paraId="11EFF3BE" w14:textId="67B70795" w:rsidR="006B0D57" w:rsidRDefault="006B0D57" w:rsidP="004829CE">
      <w:pPr>
        <w:pStyle w:val="BodyText"/>
        <w:numPr>
          <w:ilvl w:val="0"/>
          <w:numId w:val="16"/>
        </w:numPr>
      </w:pPr>
      <w:r>
        <w:t>Delay spread issues</w:t>
      </w:r>
    </w:p>
    <w:p w14:paraId="702F7F32" w14:textId="11EDA2FD" w:rsidR="00CA7E3B" w:rsidRDefault="00CA7E3B" w:rsidP="004829CE">
      <w:pPr>
        <w:pStyle w:val="BodyText"/>
        <w:numPr>
          <w:ilvl w:val="0"/>
          <w:numId w:val="16"/>
        </w:numPr>
      </w:pPr>
      <w:r>
        <w:t xml:space="preserve">Phase noise </w:t>
      </w:r>
      <w:r w:rsidR="006B0D57">
        <w:t>issues</w:t>
      </w:r>
    </w:p>
    <w:p w14:paraId="5C92FCED" w14:textId="6778CFAB" w:rsidR="002F6BC4" w:rsidRDefault="002F6BC4" w:rsidP="004829CE">
      <w:pPr>
        <w:pStyle w:val="BodyText"/>
        <w:numPr>
          <w:ilvl w:val="0"/>
          <w:numId w:val="16"/>
        </w:numPr>
      </w:pPr>
      <w:r>
        <w:t>Frequency and timing estimation issues</w:t>
      </w:r>
    </w:p>
    <w:p w14:paraId="4DC8E366" w14:textId="0597E27D" w:rsidR="00814505" w:rsidRDefault="00814505" w:rsidP="004829CE">
      <w:pPr>
        <w:pStyle w:val="BodyText"/>
        <w:numPr>
          <w:ilvl w:val="0"/>
          <w:numId w:val="16"/>
        </w:numPr>
      </w:pPr>
      <w:r>
        <w:t>Processing time issues</w:t>
      </w:r>
    </w:p>
    <w:p w14:paraId="3A381315" w14:textId="7D3E0A95" w:rsidR="00FA4D2D" w:rsidRDefault="00FA4D2D" w:rsidP="00814505">
      <w:pPr>
        <w:pStyle w:val="BodyText"/>
      </w:pPr>
      <w:r>
        <w:t>Based on the analysis, we propose</w:t>
      </w:r>
    </w:p>
    <w:p w14:paraId="5C2B35F5" w14:textId="4C1D880B" w:rsidR="00FA4D2D" w:rsidRPr="00EA0A41" w:rsidRDefault="00FA4D2D" w:rsidP="00FA4D2D">
      <w:pPr>
        <w:pStyle w:val="Proposal"/>
      </w:pPr>
      <w:bookmarkStart w:id="73" w:name="_Toc53776186"/>
      <w:r>
        <w:t xml:space="preserve">Consider </w:t>
      </w:r>
      <w:r w:rsidR="00627C29">
        <w:t>sub-carrier spacing</w:t>
      </w:r>
      <w:r w:rsidR="000736A9">
        <w:t>s up to</w:t>
      </w:r>
      <w:r w:rsidR="00627C29">
        <w:t xml:space="preserve"> 480 kHz </w:t>
      </w:r>
      <w:r>
        <w:t>for NR operation in 52.6 to 71 GHz.</w:t>
      </w:r>
      <w:bookmarkEnd w:id="73"/>
    </w:p>
    <w:p w14:paraId="59631AC1" w14:textId="77777777" w:rsidR="00A42F21" w:rsidRDefault="00A42F21" w:rsidP="008A2C71">
      <w:pPr>
        <w:pStyle w:val="BodyText"/>
      </w:pPr>
    </w:p>
    <w:p w14:paraId="2AA001CA" w14:textId="38E97BC2" w:rsidR="00553A2F" w:rsidRDefault="006B0D57" w:rsidP="00553A2F">
      <w:pPr>
        <w:pStyle w:val="Heading2"/>
      </w:pPr>
      <w:bookmarkStart w:id="74" w:name="_Toc46307397"/>
      <w:bookmarkStart w:id="75" w:name="_Toc47530175"/>
      <w:bookmarkStart w:id="76" w:name="_Toc46307393"/>
      <w:bookmarkStart w:id="77" w:name="_Toc47530171"/>
      <w:bookmarkStart w:id="78" w:name="_Toc53775888"/>
      <w:r>
        <w:t>3.1</w:t>
      </w:r>
      <w:r>
        <w:tab/>
      </w:r>
      <w:r w:rsidR="00553A2F">
        <w:t>Coverage considerations</w:t>
      </w:r>
      <w:bookmarkEnd w:id="78"/>
      <w:r w:rsidR="00553A2F">
        <w:t xml:space="preserve"> </w:t>
      </w:r>
    </w:p>
    <w:p w14:paraId="5B872F1E" w14:textId="0E353EA4" w:rsidR="000763FF" w:rsidRDefault="000763FF" w:rsidP="000763FF">
      <w:pPr>
        <w:pStyle w:val="Heading3"/>
      </w:pPr>
      <w:bookmarkStart w:id="79" w:name="_Toc53775889"/>
      <w:r>
        <w:t>3.1.1</w:t>
      </w:r>
      <w:r>
        <w:tab/>
      </w:r>
      <w:r w:rsidRPr="003C2819">
        <w:t>Deployment</w:t>
      </w:r>
      <w:r w:rsidR="00846726">
        <w:t>s</w:t>
      </w:r>
      <w:r w:rsidRPr="003C2819">
        <w:t xml:space="preserve"> for Ensuring Coverage</w:t>
      </w:r>
      <w:bookmarkEnd w:id="79"/>
    </w:p>
    <w:p w14:paraId="1199A6BA" w14:textId="6CBCCB69" w:rsidR="000763FF" w:rsidRDefault="000763FF" w:rsidP="004F69A1">
      <w:pPr>
        <w:pStyle w:val="BodyText"/>
      </w:pPr>
      <w:r w:rsidRPr="003C2819">
        <w:t>As we</w:t>
      </w:r>
      <w:r>
        <w:t xml:space="preserve"> discuss </w:t>
      </w:r>
      <w:r w:rsidR="002F7F41">
        <w:t>in the next section (3.1.2)</w:t>
      </w:r>
      <w:r>
        <w:t>, with larger SCS, the OFDM symbol duration becomes shorter</w:t>
      </w:r>
      <w:r w:rsidR="00846726">
        <w:t xml:space="preserve"> which negatively impacts coverage for fixed payload channels </w:t>
      </w:r>
      <w:r w:rsidR="00846726" w:rsidRPr="00846726">
        <w:t>(e.g., PDCCH/PUCCH)</w:t>
      </w:r>
      <w:r w:rsidR="00F0596B">
        <w:t xml:space="preserve"> and </w:t>
      </w:r>
      <w:r w:rsidR="00846726" w:rsidRPr="00846726">
        <w:t xml:space="preserve">variable payload channels </w:t>
      </w:r>
      <w:r w:rsidR="00846726" w:rsidRPr="00846726">
        <w:lastRenderedPageBreak/>
        <w:t>(e.g., PDSCH/PUSCH)</w:t>
      </w:r>
      <w:r w:rsidR="00F0596B">
        <w:t>. The same is true for initial access signals and channels (SS/PBCH block, PRACH) as we show using link budget results in Sections 4.1.1 and 4.1.2, respectively.</w:t>
      </w:r>
    </w:p>
    <w:p w14:paraId="1D594156" w14:textId="4985058F" w:rsidR="000763FF" w:rsidRDefault="00846726" w:rsidP="008414DE">
      <w:pPr>
        <w:pStyle w:val="Proposal"/>
      </w:pPr>
      <w:bookmarkStart w:id="80" w:name="_Toc53776187"/>
      <w:r>
        <w:t xml:space="preserve">Capture the following text in TR 38.808: </w:t>
      </w:r>
      <w:r w:rsidR="000763FF">
        <w:t xml:space="preserve">Increased SCS translates to a loss in coverage for </w:t>
      </w:r>
      <w:r>
        <w:t xml:space="preserve">initial access signals and channels (SS/PBCH block, PRACH), </w:t>
      </w:r>
      <w:r w:rsidR="000763FF">
        <w:t xml:space="preserve">fixed payload </w:t>
      </w:r>
      <w:r>
        <w:t xml:space="preserve">channels </w:t>
      </w:r>
      <w:r w:rsidR="000763FF">
        <w:t>(e.g., PDCCH/PUCCH)</w:t>
      </w:r>
      <w:r>
        <w:t xml:space="preserve">, </w:t>
      </w:r>
      <w:r w:rsidR="000763FF">
        <w:t>and variable payload channels (e.g., PDSCH/PUSCH) due to shorter OFDM symbol duration.</w:t>
      </w:r>
      <w:bookmarkEnd w:id="80"/>
    </w:p>
    <w:p w14:paraId="042C4ED9" w14:textId="638EDAAA" w:rsidR="000763FF" w:rsidRDefault="000763FF" w:rsidP="000763FF">
      <w:pPr>
        <w:pStyle w:val="BodyText"/>
      </w:pPr>
      <w:r>
        <w:t xml:space="preserve">Based on this observation, it is important to deploy in a manner that ensures coverage, which further guides what sort of design changes/enhancements compared to Rel-16 should be supported for operation of NR in the 52.6 – 71 GHz band. Two example deployments ensuring coverage are shown in </w:t>
      </w:r>
      <w:r w:rsidR="000723F2">
        <w:fldChar w:fldCharType="begin"/>
      </w:r>
      <w:r w:rsidR="000723F2">
        <w:instrText xml:space="preserve"> REF _Ref53582177 \h </w:instrText>
      </w:r>
      <w:r w:rsidR="000723F2">
        <w:fldChar w:fldCharType="separate"/>
      </w:r>
      <w:r w:rsidR="00BE31F7" w:rsidRPr="004F69A1">
        <w:t xml:space="preserve">Figure </w:t>
      </w:r>
      <w:r w:rsidR="00BE31F7">
        <w:rPr>
          <w:noProof/>
        </w:rPr>
        <w:t>9</w:t>
      </w:r>
      <w:r w:rsidR="000723F2">
        <w:fldChar w:fldCharType="end"/>
      </w:r>
      <w:r w:rsidR="00846726">
        <w:t xml:space="preserve">. In both cases, </w:t>
      </w:r>
      <w:r>
        <w:t xml:space="preserve">a carrier in the 52.6 – 71 GHz band is deployed, </w:t>
      </w:r>
      <w:r w:rsidR="00846726">
        <w:t>but for the non-standalone deployment, this carrier inter-works with a low</w:t>
      </w:r>
      <w:r w:rsidR="002D4E3D">
        <w:t>(</w:t>
      </w:r>
      <w:proofErr w:type="spellStart"/>
      <w:r w:rsidR="002D4E3D">
        <w:t>er</w:t>
      </w:r>
      <w:proofErr w:type="spellEnd"/>
      <w:r w:rsidR="002D4E3D">
        <w:t>)</w:t>
      </w:r>
      <w:r w:rsidR="00846726">
        <w:t>-band carrier through carrier aggregation (CA) or dual-connectivity (DC).</w:t>
      </w:r>
    </w:p>
    <w:p w14:paraId="32D97CB3" w14:textId="3482F82C" w:rsidR="000763FF" w:rsidRDefault="000763FF" w:rsidP="000763FF">
      <w:pPr>
        <w:pStyle w:val="BodyText"/>
      </w:pPr>
      <w:r>
        <w:t xml:space="preserve">For the standalone case, coverage is ensured by configuration of relatively narrow initial BWP using 120 kHz SCS to avoid coverage loss. </w:t>
      </w:r>
      <w:r w:rsidR="00846726">
        <w:t>The initial BWP is used for initial access, and the existing FR2 framework is directly applicable, e.g., 120 kHz for PRACH and 120/240 kHz for SS/PBCH. In addition, an additional wide BWP is configured</w:t>
      </w:r>
      <w:r w:rsidR="002F7F41">
        <w:t xml:space="preserve"> with larger SCS (480 kHz)</w:t>
      </w:r>
      <w:r w:rsidR="00846726">
        <w:t xml:space="preserve">, and through BWP switching, this BWP is used to support high data rates when needed and </w:t>
      </w:r>
      <w:proofErr w:type="gramStart"/>
      <w:r w:rsidR="00846726">
        <w:t>as long as</w:t>
      </w:r>
      <w:proofErr w:type="gramEnd"/>
      <w:r w:rsidR="00846726">
        <w:t xml:space="preserve"> the UE is in sufficiently good channel conditions.</w:t>
      </w:r>
    </w:p>
    <w:p w14:paraId="43326889" w14:textId="65748659" w:rsidR="007808B4" w:rsidRDefault="007808B4" w:rsidP="000763FF">
      <w:pPr>
        <w:pStyle w:val="BodyText"/>
      </w:pPr>
      <w:r>
        <w:t xml:space="preserve">For the non-standalone case, </w:t>
      </w:r>
      <w:r w:rsidR="002F7F41">
        <w:t xml:space="preserve">a </w:t>
      </w:r>
      <w:proofErr w:type="spellStart"/>
      <w:r w:rsidR="002F7F41">
        <w:t>PCell</w:t>
      </w:r>
      <w:proofErr w:type="spellEnd"/>
      <w:r w:rsidR="002F7F41">
        <w:t xml:space="preserve"> in the low</w:t>
      </w:r>
      <w:r w:rsidR="002D4E3D">
        <w:t>(</w:t>
      </w:r>
      <w:proofErr w:type="spellStart"/>
      <w:r w:rsidR="002D4E3D">
        <w:t>er</w:t>
      </w:r>
      <w:proofErr w:type="spellEnd"/>
      <w:r w:rsidR="002D4E3D">
        <w:t>)</w:t>
      </w:r>
      <w:r w:rsidR="002F7F41">
        <w:t xml:space="preserve"> band carrier is configured with</w:t>
      </w:r>
      <w:r w:rsidR="002D4E3D">
        <w:t xml:space="preserve"> 15/30 kHz SCS (for FR1) or </w:t>
      </w:r>
      <w:r w:rsidR="002F7F41">
        <w:t xml:space="preserve">120 kHz SCS </w:t>
      </w:r>
      <w:r w:rsidR="008414DE">
        <w:t xml:space="preserve">(for FR2) </w:t>
      </w:r>
      <w:r w:rsidR="002F7F41">
        <w:t xml:space="preserve">for which coverage is ensured. Again, the existing </w:t>
      </w:r>
      <w:r w:rsidR="008414DE">
        <w:t>Rel-15</w:t>
      </w:r>
      <w:r w:rsidR="002F7F41">
        <w:t xml:space="preserve"> initial access framework is directly appliable. In addition, </w:t>
      </w:r>
      <w:r>
        <w:t xml:space="preserve">an </w:t>
      </w:r>
      <w:proofErr w:type="spellStart"/>
      <w:r>
        <w:t>SCell</w:t>
      </w:r>
      <w:proofErr w:type="spellEnd"/>
      <w:r>
        <w:t xml:space="preserve"> or </w:t>
      </w:r>
      <w:proofErr w:type="spellStart"/>
      <w:r>
        <w:t>PSCell</w:t>
      </w:r>
      <w:proofErr w:type="spellEnd"/>
      <w:r>
        <w:t xml:space="preserve"> is configured on the high band carrier (in the 52.6 – 71 GHz band) with 480 kHz SCS</w:t>
      </w:r>
      <w:r w:rsidR="002F7F41">
        <w:t xml:space="preserve"> which inter-works with the low</w:t>
      </w:r>
      <w:r w:rsidR="002D4E3D">
        <w:t>(</w:t>
      </w:r>
      <w:proofErr w:type="spellStart"/>
      <w:r w:rsidR="002D4E3D">
        <w:t>er</w:t>
      </w:r>
      <w:proofErr w:type="spellEnd"/>
      <w:r w:rsidR="002D4E3D">
        <w:t>)</w:t>
      </w:r>
      <w:r w:rsidR="002F7F41">
        <w:t xml:space="preserve">-band carrier through CA/DC. The </w:t>
      </w:r>
      <w:proofErr w:type="spellStart"/>
      <w:r w:rsidR="002F7F41">
        <w:t>SCell</w:t>
      </w:r>
      <w:proofErr w:type="spellEnd"/>
      <w:r w:rsidR="002F7F41">
        <w:t>/</w:t>
      </w:r>
      <w:proofErr w:type="spellStart"/>
      <w:r w:rsidR="002F7F41">
        <w:t>PSCell</w:t>
      </w:r>
      <w:proofErr w:type="spellEnd"/>
      <w:r w:rsidR="002F7F41">
        <w:t xml:space="preserve"> is </w:t>
      </w:r>
      <w:r>
        <w:t xml:space="preserve">activated in order to support high data rates when needed </w:t>
      </w:r>
      <w:proofErr w:type="gramStart"/>
      <w:r>
        <w:t>as long as</w:t>
      </w:r>
      <w:proofErr w:type="gramEnd"/>
      <w:r>
        <w:t xml:space="preserve"> the UE is in sufficiently good channel conditions.</w:t>
      </w:r>
    </w:p>
    <w:p w14:paraId="5E036798" w14:textId="63D716FA" w:rsidR="000763FF" w:rsidRDefault="007808B4" w:rsidP="000763FF">
      <w:pPr>
        <w:pStyle w:val="BodyText"/>
      </w:pPr>
      <w:r>
        <w:t xml:space="preserve">Based on these deployment </w:t>
      </w:r>
      <w:r w:rsidR="002F7F41">
        <w:t>scenarios</w:t>
      </w:r>
      <w:r>
        <w:t>, the basic tools in the Rel-16 spec are already in place to ensure both coverage and support of high data rates. We do not see a need to standardize coverage enhancement approaches for initial access</w:t>
      </w:r>
      <w:r w:rsidR="00F0596B">
        <w:t xml:space="preserve"> signals and channels or for </w:t>
      </w:r>
      <w:r>
        <w:t>control/data channels for larger SCS</w:t>
      </w:r>
      <w:r w:rsidR="00F0596B">
        <w:t>.</w:t>
      </w:r>
    </w:p>
    <w:p w14:paraId="3597B7DB" w14:textId="3BB9DEFB" w:rsidR="007808B4" w:rsidRDefault="00CB2D10" w:rsidP="007808B4">
      <w:pPr>
        <w:pStyle w:val="Observation"/>
        <w:ind w:left="1620" w:hanging="1620"/>
      </w:pPr>
      <w:bookmarkStart w:id="81" w:name="_Toc53775919"/>
      <w:r>
        <w:t>For operation in the 52.6 – 71 GHz band, b</w:t>
      </w:r>
      <w:r w:rsidR="007808B4">
        <w:t xml:space="preserve">asic tools in the Rel-16 specifications, e.g., </w:t>
      </w:r>
      <w:r>
        <w:t xml:space="preserve">FR2 initial access framework, </w:t>
      </w:r>
      <w:r w:rsidR="007808B4">
        <w:t>BWP switching, CA/DC activation already support</w:t>
      </w:r>
      <w:r w:rsidR="00533368">
        <w:t xml:space="preserve"> both standalone and non-standalone</w:t>
      </w:r>
      <w:r w:rsidR="007808B4">
        <w:t xml:space="preserve"> deployments that </w:t>
      </w:r>
      <w:r>
        <w:t xml:space="preserve">can </w:t>
      </w:r>
      <w:r w:rsidR="007808B4">
        <w:t>ensure coverage. It is not needed to specify coverage enhancement approaches for larger SCS for initial access</w:t>
      </w:r>
      <w:r w:rsidR="00F0596B">
        <w:t xml:space="preserve"> signals and channels or for </w:t>
      </w:r>
      <w:r w:rsidR="007808B4">
        <w:t>control/data channels</w:t>
      </w:r>
      <w:r>
        <w:t>.</w:t>
      </w:r>
      <w:bookmarkEnd w:id="81"/>
    </w:p>
    <w:p w14:paraId="22E03C8E" w14:textId="77777777" w:rsidR="007808B4" w:rsidRDefault="007808B4" w:rsidP="003C2819"/>
    <w:p w14:paraId="43AA1B7E" w14:textId="791C0AD7" w:rsidR="000763FF" w:rsidRDefault="000763FF" w:rsidP="000763FF">
      <w:pPr>
        <w:keepNext/>
        <w:tabs>
          <w:tab w:val="center" w:pos="2340"/>
          <w:tab w:val="center" w:pos="7290"/>
        </w:tabs>
        <w:overflowPunct/>
        <w:autoSpaceDE/>
        <w:autoSpaceDN/>
        <w:adjustRightInd/>
        <w:spacing w:after="160" w:line="259" w:lineRule="auto"/>
        <w:contextualSpacing/>
        <w:textAlignment w:val="auto"/>
      </w:pPr>
      <w:r w:rsidRPr="00C361FF">
        <w:rPr>
          <w:rFonts w:ascii="Arial" w:hAnsi="Arial" w:cs="Arial"/>
          <w:noProof/>
        </w:rPr>
        <w:drawing>
          <wp:inline distT="0" distB="0" distL="0" distR="0" wp14:anchorId="4DB0B9BD" wp14:editId="034799C8">
            <wp:extent cx="2514600" cy="1828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14600" cy="1828800"/>
                    </a:xfrm>
                    <a:prstGeom prst="rect">
                      <a:avLst/>
                    </a:prstGeom>
                    <a:noFill/>
                  </pic:spPr>
                </pic:pic>
              </a:graphicData>
            </a:graphic>
          </wp:inline>
        </w:drawing>
      </w:r>
      <w:r>
        <w:rPr>
          <w:rFonts w:ascii="Arial" w:hAnsi="Arial" w:cs="Arial"/>
        </w:rPr>
        <w:tab/>
      </w:r>
      <w:r w:rsidR="008414DE">
        <w:rPr>
          <w:rFonts w:ascii="Arial" w:hAnsi="Arial" w:cs="Arial"/>
          <w:noProof/>
        </w:rPr>
        <w:drawing>
          <wp:inline distT="0" distB="0" distL="0" distR="0" wp14:anchorId="34588E90" wp14:editId="32801480">
            <wp:extent cx="2971800" cy="1234440"/>
            <wp:effectExtent l="0" t="0" r="0" b="3810"/>
            <wp:docPr id="1614471041" name="Picture 161447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71800" cy="1234440"/>
                    </a:xfrm>
                    <a:prstGeom prst="rect">
                      <a:avLst/>
                    </a:prstGeom>
                    <a:noFill/>
                  </pic:spPr>
                </pic:pic>
              </a:graphicData>
            </a:graphic>
          </wp:inline>
        </w:drawing>
      </w:r>
    </w:p>
    <w:p w14:paraId="6FED927A" w14:textId="0B05E974" w:rsidR="000763FF" w:rsidRPr="000D1235" w:rsidRDefault="000763FF" w:rsidP="004F69A1">
      <w:pPr>
        <w:pStyle w:val="TF"/>
        <w:jc w:val="both"/>
        <w:rPr>
          <w:rFonts w:cs="Arial"/>
          <w:highlight w:val="yellow"/>
        </w:rPr>
      </w:pPr>
      <w:bookmarkStart w:id="82" w:name="_Ref53582177"/>
      <w:r w:rsidRPr="004F69A1">
        <w:rPr>
          <w:lang w:val="en-US"/>
        </w:rPr>
        <w:t xml:space="preserve">Figure </w:t>
      </w:r>
      <w:r w:rsidRPr="004F69A1">
        <w:rPr>
          <w:lang w:val="en-US"/>
        </w:rPr>
        <w:fldChar w:fldCharType="begin"/>
      </w:r>
      <w:r>
        <w:instrText xml:space="preserve"> SEQ Figure \* ARABIC </w:instrText>
      </w:r>
      <w:r w:rsidRPr="004F69A1">
        <w:rPr>
          <w:lang w:val="en-US"/>
        </w:rPr>
        <w:fldChar w:fldCharType="separate"/>
      </w:r>
      <w:r w:rsidR="00BE31F7">
        <w:rPr>
          <w:noProof/>
        </w:rPr>
        <w:t>9</w:t>
      </w:r>
      <w:r w:rsidRPr="004F69A1">
        <w:rPr>
          <w:lang w:val="en-US"/>
        </w:rPr>
        <w:fldChar w:fldCharType="end"/>
      </w:r>
      <w:bookmarkEnd w:id="82"/>
      <w:r w:rsidRPr="004F69A1">
        <w:rPr>
          <w:lang w:val="en-US"/>
        </w:rPr>
        <w:t>: Deployment scenarios for ensuring coverage</w:t>
      </w:r>
      <w:r w:rsidR="00BA0511" w:rsidRPr="004F69A1">
        <w:rPr>
          <w:lang w:val="en-US"/>
        </w:rPr>
        <w:t xml:space="preserve"> with reuse of FR2 initial access framework</w:t>
      </w:r>
    </w:p>
    <w:p w14:paraId="08194D22" w14:textId="77777777" w:rsidR="000763FF" w:rsidRDefault="000763FF" w:rsidP="000763FF">
      <w:pPr>
        <w:pStyle w:val="BodyText"/>
      </w:pPr>
    </w:p>
    <w:p w14:paraId="71BAC575" w14:textId="589945BF" w:rsidR="000763FF" w:rsidRDefault="000763FF" w:rsidP="003C2819">
      <w:pPr>
        <w:pStyle w:val="Heading3"/>
      </w:pPr>
      <w:bookmarkStart w:id="83" w:name="_Toc53775890"/>
      <w:r>
        <w:t>3.1.2</w:t>
      </w:r>
      <w:r>
        <w:tab/>
        <w:t>Coverage as a function of SCS</w:t>
      </w:r>
      <w:bookmarkEnd w:id="83"/>
    </w:p>
    <w:p w14:paraId="414A1500" w14:textId="1FBABD93" w:rsidR="0056270C" w:rsidRDefault="0056270C" w:rsidP="0056270C">
      <w:pPr>
        <w:pStyle w:val="BodyText"/>
      </w:pPr>
      <w:r>
        <w:t xml:space="preserve">With a larger SCS, the OFDM symbol duration becomes shorter which limits the accumulation of signal energy due to the shorter durations as shown in </w:t>
      </w:r>
      <w:r>
        <w:fldChar w:fldCharType="begin"/>
      </w:r>
      <w:r>
        <w:instrText xml:space="preserve"> REF _Ref53488605 \h </w:instrText>
      </w:r>
      <w:r>
        <w:fldChar w:fldCharType="separate"/>
      </w:r>
      <w:r w:rsidR="00BE31F7">
        <w:t>Figure</w:t>
      </w:r>
      <w:r w:rsidR="00BE31F7" w:rsidRPr="00731273">
        <w:t xml:space="preserve"> </w:t>
      </w:r>
      <w:r w:rsidR="00BE31F7">
        <w:rPr>
          <w:noProof/>
        </w:rPr>
        <w:t>10</w:t>
      </w:r>
      <w:r>
        <w:fldChar w:fldCharType="end"/>
      </w:r>
      <w:r>
        <w:t>. As a result, link budget and coverage can become severely compromised. We discuss this issue here in the context of fixed payload channels (e.g., PDCCH/PUCCH) and variable payload channels (e.g., PDSCH/PUSCH). We further discuss link budget issues for SS/PBCH and RACH in Sections 4.1.1 and 4.1.2, respectively</w:t>
      </w:r>
      <w:r w:rsidR="0022691E">
        <w:t>, and show degraded link budget as the SCS is increased.</w:t>
      </w:r>
    </w:p>
    <w:p w14:paraId="52147525" w14:textId="240CC294" w:rsidR="0056270C" w:rsidRPr="004370BD" w:rsidRDefault="0056270C" w:rsidP="0056270C">
      <w:pPr>
        <w:pStyle w:val="TF"/>
        <w:keepLines w:val="0"/>
        <w:spacing w:before="0" w:after="240"/>
        <w:rPr>
          <w:lang w:val="en-US"/>
        </w:rPr>
      </w:pPr>
      <w:bookmarkStart w:id="84" w:name="_Ref53488605"/>
      <w:r>
        <w:rPr>
          <w:lang w:val="en-US"/>
        </w:rPr>
        <w:lastRenderedPageBreak/>
        <w:t>Figure</w:t>
      </w:r>
      <w:r w:rsidRPr="00731273">
        <w:rPr>
          <w:lang w:val="en-US"/>
        </w:rPr>
        <w:t xml:space="preserve"> </w:t>
      </w:r>
      <w:r w:rsidRPr="00731273">
        <w:rPr>
          <w:lang w:val="en-US"/>
        </w:rPr>
        <w:fldChar w:fldCharType="begin"/>
      </w:r>
      <w:r w:rsidRPr="00731273">
        <w:rPr>
          <w:lang w:val="en-US"/>
        </w:rPr>
        <w:instrText xml:space="preserve"> SEQ Figure \* ARABIC </w:instrText>
      </w:r>
      <w:r w:rsidRPr="00731273">
        <w:rPr>
          <w:lang w:val="en-US"/>
        </w:rPr>
        <w:fldChar w:fldCharType="separate"/>
      </w:r>
      <w:r w:rsidR="00BE31F7">
        <w:rPr>
          <w:noProof/>
          <w:lang w:val="en-US"/>
        </w:rPr>
        <w:t>10</w:t>
      </w:r>
      <w:r w:rsidRPr="00731273">
        <w:rPr>
          <w:lang w:val="en-US"/>
        </w:rPr>
        <w:fldChar w:fldCharType="end"/>
      </w:r>
      <w:bookmarkEnd w:id="84"/>
      <w:r w:rsidRPr="00731273">
        <w:rPr>
          <w:lang w:val="en-US"/>
        </w:rPr>
        <w:t>:</w:t>
      </w:r>
      <w:r>
        <w:rPr>
          <w:lang w:val="en-US"/>
        </w:rPr>
        <w:t xml:space="preserve"> OFDM duration for different </w:t>
      </w:r>
      <w:r w:rsidRPr="00731273">
        <w:rPr>
          <w:lang w:val="en-US"/>
        </w:rPr>
        <w:t>sub-carrier spacing</w:t>
      </w:r>
      <w:r>
        <w:rPr>
          <w:lang w:val="en-US"/>
        </w:rPr>
        <w:t>s</w:t>
      </w:r>
    </w:p>
    <w:tbl>
      <w:tblPr>
        <w:tblStyle w:val="TableGrid"/>
        <w:tblW w:w="0" w:type="auto"/>
        <w:jc w:val="center"/>
        <w:tblLook w:val="04A0" w:firstRow="1" w:lastRow="0" w:firstColumn="1" w:lastColumn="0" w:noHBand="0" w:noVBand="1"/>
      </w:tblPr>
      <w:tblGrid>
        <w:gridCol w:w="2695"/>
        <w:gridCol w:w="1080"/>
        <w:gridCol w:w="990"/>
        <w:gridCol w:w="990"/>
        <w:gridCol w:w="1080"/>
      </w:tblGrid>
      <w:tr w:rsidR="0056270C" w:rsidRPr="003D63C4" w14:paraId="75EA7400" w14:textId="77777777" w:rsidTr="00A84D00">
        <w:trPr>
          <w:jc w:val="center"/>
        </w:trPr>
        <w:tc>
          <w:tcPr>
            <w:tcW w:w="2695" w:type="dxa"/>
            <w:vAlign w:val="bottom"/>
          </w:tcPr>
          <w:p w14:paraId="75DEE59A" w14:textId="77777777" w:rsidR="0056270C" w:rsidRPr="00552480" w:rsidRDefault="0056270C" w:rsidP="00A84D00">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SCS [kHz]</w:t>
            </w:r>
          </w:p>
        </w:tc>
        <w:tc>
          <w:tcPr>
            <w:tcW w:w="1080" w:type="dxa"/>
            <w:vAlign w:val="bottom"/>
          </w:tcPr>
          <w:p w14:paraId="031B4AFF" w14:textId="77777777" w:rsidR="0056270C" w:rsidRPr="00552480" w:rsidRDefault="0056270C" w:rsidP="00A84D00">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120</w:t>
            </w:r>
          </w:p>
        </w:tc>
        <w:tc>
          <w:tcPr>
            <w:tcW w:w="990" w:type="dxa"/>
            <w:vAlign w:val="bottom"/>
          </w:tcPr>
          <w:p w14:paraId="4918CA77" w14:textId="77777777" w:rsidR="0056270C" w:rsidRPr="00552480" w:rsidRDefault="0056270C" w:rsidP="00A84D00">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240</w:t>
            </w:r>
          </w:p>
        </w:tc>
        <w:tc>
          <w:tcPr>
            <w:tcW w:w="990" w:type="dxa"/>
            <w:vAlign w:val="bottom"/>
          </w:tcPr>
          <w:p w14:paraId="571C090E" w14:textId="77777777" w:rsidR="0056270C" w:rsidRPr="00552480" w:rsidRDefault="0056270C" w:rsidP="00A84D00">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480</w:t>
            </w:r>
          </w:p>
        </w:tc>
        <w:tc>
          <w:tcPr>
            <w:tcW w:w="1080" w:type="dxa"/>
            <w:vAlign w:val="bottom"/>
          </w:tcPr>
          <w:p w14:paraId="6994360D" w14:textId="77777777" w:rsidR="0056270C" w:rsidRPr="00552480" w:rsidRDefault="0056270C" w:rsidP="00A84D00">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960</w:t>
            </w:r>
          </w:p>
        </w:tc>
      </w:tr>
      <w:tr w:rsidR="0056270C" w:rsidRPr="003D63C4" w14:paraId="5755E3A4" w14:textId="77777777" w:rsidTr="00A84D00">
        <w:trPr>
          <w:jc w:val="center"/>
        </w:trPr>
        <w:tc>
          <w:tcPr>
            <w:tcW w:w="2695" w:type="dxa"/>
            <w:vAlign w:val="bottom"/>
          </w:tcPr>
          <w:p w14:paraId="3E7117B1" w14:textId="77777777" w:rsidR="0056270C" w:rsidRPr="00552480" w:rsidRDefault="0056270C" w:rsidP="00A84D00">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OFDM symbol</w:t>
            </w:r>
            <w:r w:rsidRPr="00552480">
              <w:rPr>
                <w:rFonts w:eastAsiaTheme="minorEastAsia" w:cs="Arial"/>
                <w:color w:val="000000" w:themeColor="text1"/>
                <w:kern w:val="24"/>
              </w:rPr>
              <w:t xml:space="preserve"> duration [μs]</w:t>
            </w:r>
          </w:p>
        </w:tc>
        <w:tc>
          <w:tcPr>
            <w:tcW w:w="1080" w:type="dxa"/>
            <w:vAlign w:val="bottom"/>
          </w:tcPr>
          <w:p w14:paraId="13A6A62A" w14:textId="77777777" w:rsidR="0056270C" w:rsidRPr="00552480" w:rsidRDefault="0056270C" w:rsidP="00A84D00">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8.93</w:t>
            </w:r>
          </w:p>
        </w:tc>
        <w:tc>
          <w:tcPr>
            <w:tcW w:w="990" w:type="dxa"/>
            <w:vAlign w:val="bottom"/>
          </w:tcPr>
          <w:p w14:paraId="7B4149F5" w14:textId="77777777" w:rsidR="0056270C" w:rsidRPr="00552480" w:rsidRDefault="0056270C" w:rsidP="00A84D00">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4.46</w:t>
            </w:r>
          </w:p>
        </w:tc>
        <w:tc>
          <w:tcPr>
            <w:tcW w:w="990" w:type="dxa"/>
            <w:vAlign w:val="bottom"/>
          </w:tcPr>
          <w:p w14:paraId="12BF3EC2" w14:textId="77777777" w:rsidR="0056270C" w:rsidRPr="00552480" w:rsidRDefault="0056270C" w:rsidP="00A84D00">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2.23</w:t>
            </w:r>
          </w:p>
        </w:tc>
        <w:tc>
          <w:tcPr>
            <w:tcW w:w="1080" w:type="dxa"/>
            <w:vAlign w:val="bottom"/>
          </w:tcPr>
          <w:p w14:paraId="4DD74A9A" w14:textId="77777777" w:rsidR="0056270C" w:rsidRPr="00552480" w:rsidRDefault="0056270C" w:rsidP="00A84D00">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1.12</w:t>
            </w:r>
          </w:p>
        </w:tc>
      </w:tr>
    </w:tbl>
    <w:p w14:paraId="150AE16C" w14:textId="77777777" w:rsidR="0056270C" w:rsidRDefault="0056270C" w:rsidP="0056270C">
      <w:pPr>
        <w:pStyle w:val="BodyText"/>
      </w:pPr>
    </w:p>
    <w:p w14:paraId="5D76B3B7" w14:textId="77777777" w:rsidR="0056270C" w:rsidRDefault="0056270C" w:rsidP="0056270C">
      <w:pPr>
        <w:pStyle w:val="BodyText"/>
      </w:pPr>
      <w:r>
        <w:t>For the case of fixed payload channels, consider PDCCH carrying 72 bits as an example. With a CORESET of three OS in duration, this PDCCH represents a 2.7 Mbps link with 120 kHz SCS. The same PDCCH becomes 11 and 22 Mbps links for 480 and 960 kHz SCS, respectively. In the low SINR coverage limit regime, transmission rate is directly proportional to the operating SINR. Hence, PDCCH coverage with the 480 and 960 kHz SCS are 3 and 6 dB worse than that with 120 kHz SCS. Similar coverage shortages with larger SCSs apply to other fixed payload size signals such as PSS/SSS/PBCH, PRACH, PUCCH, paging, msg2, etc.</w:t>
      </w:r>
    </w:p>
    <w:p w14:paraId="7F2200A8" w14:textId="30A7E440" w:rsidR="00553A2F" w:rsidRDefault="00553A2F" w:rsidP="00553A2F">
      <w:pPr>
        <w:pStyle w:val="BodyText"/>
      </w:pPr>
      <w:r>
        <w:t xml:space="preserve">For </w:t>
      </w:r>
      <w:r w:rsidR="0056270C">
        <w:t xml:space="preserve">the case of </w:t>
      </w:r>
      <w:r>
        <w:t xml:space="preserve">variable payload channels such as the PDSCH and the PUSCH, the importance of </w:t>
      </w:r>
      <w:r w:rsidR="00A84D00">
        <w:t xml:space="preserve">the duration over which </w:t>
      </w:r>
      <w:r>
        <w:t xml:space="preserve">coherent accumulation </w:t>
      </w:r>
      <w:r w:rsidR="00A84D00">
        <w:t xml:space="preserve">of energy is performed </w:t>
      </w:r>
      <w:r>
        <w:t>can be appreciated by considering</w:t>
      </w:r>
      <w:r w:rsidRPr="00EA0A41">
        <w:t xml:space="preserve"> </w:t>
      </w:r>
      <w:r>
        <w:t xml:space="preserve">the </w:t>
      </w:r>
      <w:r w:rsidRPr="00EA0A41">
        <w:t xml:space="preserve">signal-to-ISI ratio (SIR). To this end, denote the received tap powers and delays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n</m:t>
                </m:r>
              </m:sub>
            </m:sSub>
          </m:e>
        </m:d>
      </m:oMath>
      <w:r w:rsidRPr="00EA0A41">
        <w:t xml:space="preserve"> and the start of CP window by </w:t>
      </w:r>
      <m:oMath>
        <m:sSub>
          <m:sSubPr>
            <m:ctrlPr>
              <w:rPr>
                <w:rFonts w:ascii="Cambria Math" w:hAnsi="Cambria Math"/>
                <w:i/>
              </w:rPr>
            </m:ctrlPr>
          </m:sSubPr>
          <m:e>
            <m:r>
              <w:rPr>
                <w:rFonts w:ascii="Cambria Math" w:hAnsi="Cambria Math"/>
              </w:rPr>
              <m:t>t</m:t>
            </m:r>
          </m:e>
          <m:sub>
            <m:r>
              <w:rPr>
                <w:rFonts w:ascii="Cambria Math" w:hAnsi="Cambria Math"/>
              </w:rPr>
              <m:t>sync</m:t>
            </m:r>
          </m:sub>
        </m:sSub>
      </m:oMath>
      <w:r w:rsidRPr="00EA0A41">
        <w:t xml:space="preserve">. </w:t>
      </w:r>
      <w:r>
        <w:t>In</w:t>
      </w:r>
      <w:r w:rsidR="00BC2F5C">
        <w:t xml:space="preserve"> </w:t>
      </w:r>
      <w:r w:rsidR="00BC2F5C">
        <w:fldChar w:fldCharType="begin"/>
      </w:r>
      <w:r w:rsidR="00BC2F5C">
        <w:instrText xml:space="preserve"> REF _Ref53406709 \h </w:instrText>
      </w:r>
      <w:r w:rsidR="00BC2F5C">
        <w:fldChar w:fldCharType="separate"/>
      </w:r>
      <w:r w:rsidR="00BE31F7">
        <w:t>Figure</w:t>
      </w:r>
      <w:r w:rsidR="00BE31F7" w:rsidRPr="00CE0424">
        <w:t xml:space="preserve"> </w:t>
      </w:r>
      <w:r w:rsidR="00BE31F7">
        <w:rPr>
          <w:noProof/>
        </w:rPr>
        <w:t>11</w:t>
      </w:r>
      <w:r w:rsidR="00BC2F5C">
        <w:fldChar w:fldCharType="end"/>
      </w:r>
      <w:r>
        <w:t xml:space="preserve">, we illustrate the differently delayed received versions of OFDM symbols X-1, X and X+1. </w:t>
      </w:r>
      <w:proofErr w:type="gramStart"/>
      <w:r>
        <w:t>It can be seen that, when</w:t>
      </w:r>
      <w:proofErr w:type="gramEnd"/>
      <w:r>
        <w:t xml:space="preserve"> a signal arrives before the start of the CP window </w:t>
      </w:r>
      <m:oMath>
        <m:sSub>
          <m:sSubPr>
            <m:ctrlPr>
              <w:rPr>
                <w:rFonts w:ascii="Cambria Math" w:hAnsi="Cambria Math"/>
                <w:i/>
              </w:rPr>
            </m:ctrlPr>
          </m:sSubPr>
          <m:e>
            <m:r>
              <w:rPr>
                <w:rFonts w:ascii="Cambria Math" w:hAnsi="Cambria Math"/>
              </w:rPr>
              <m:t>t</m:t>
            </m:r>
          </m:e>
          <m:sub>
            <m:r>
              <w:rPr>
                <w:rFonts w:ascii="Cambria Math" w:hAnsi="Cambria Math"/>
              </w:rPr>
              <m:t>sync</m:t>
            </m:r>
          </m:sub>
        </m:sSub>
      </m:oMath>
      <w:r>
        <w:t xml:space="preserve">, part of symbol X+1 enters the FFT window of symbol X causing ISI. At the same time, part of the transmitted signal for symbol X is discarded resulting in loss of orthogonality. Similarly, when a signal arrives after the end of the CP window </w:t>
      </w:r>
      <m:oMath>
        <m:sSub>
          <m:sSubPr>
            <m:ctrlPr>
              <w:rPr>
                <w:rFonts w:ascii="Cambria Math" w:hAnsi="Cambria Math"/>
                <w:i/>
              </w:rPr>
            </m:ctrlPr>
          </m:sSubPr>
          <m:e>
            <m:r>
              <w:rPr>
                <w:rFonts w:ascii="Cambria Math" w:hAnsi="Cambria Math"/>
              </w:rPr>
              <m:t>t</m:t>
            </m:r>
          </m:e>
          <m:sub>
            <m:r>
              <w:rPr>
                <w:rFonts w:ascii="Cambria Math" w:hAnsi="Cambria Math"/>
              </w:rPr>
              <m:t>sync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oMath>
      <w:r>
        <w:t>, part of symbol X-1 enters the FFT window of symbol X c</w:t>
      </w:r>
      <w:proofErr w:type="spellStart"/>
      <w:r>
        <w:t>ausing</w:t>
      </w:r>
      <w:proofErr w:type="spellEnd"/>
      <w:r>
        <w:t xml:space="preserve"> ISI and loss of orthogonality.</w:t>
      </w:r>
    </w:p>
    <w:p w14:paraId="56801D7F" w14:textId="77777777" w:rsidR="00553A2F" w:rsidRDefault="00553A2F" w:rsidP="004F69A1">
      <w:pPr>
        <w:pStyle w:val="BodyText"/>
        <w:keepNext/>
        <w:spacing w:after="0"/>
        <w:jc w:val="center"/>
      </w:pPr>
      <w:r>
        <w:rPr>
          <w:noProof/>
        </w:rPr>
        <w:drawing>
          <wp:inline distT="0" distB="0" distL="0" distR="0" wp14:anchorId="3AE699CD" wp14:editId="3BA70FB6">
            <wp:extent cx="5029200" cy="1947672"/>
            <wp:effectExtent l="0" t="0" r="0" b="0"/>
            <wp:docPr id="165591169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29200" cy="1947672"/>
                    </a:xfrm>
                    <a:prstGeom prst="rect">
                      <a:avLst/>
                    </a:prstGeom>
                  </pic:spPr>
                </pic:pic>
              </a:graphicData>
            </a:graphic>
          </wp:inline>
        </w:drawing>
      </w:r>
    </w:p>
    <w:p w14:paraId="0BF883B5" w14:textId="1A3AF3E7" w:rsidR="00553A2F" w:rsidRPr="004370BD" w:rsidRDefault="00553A2F" w:rsidP="00553A2F">
      <w:pPr>
        <w:pStyle w:val="TF"/>
        <w:jc w:val="both"/>
        <w:rPr>
          <w:lang w:val="en-US"/>
        </w:rPr>
      </w:pPr>
      <w:bookmarkStart w:id="85" w:name="_Ref53406709"/>
      <w:r>
        <w:rPr>
          <w:lang w:val="en-US"/>
        </w:rPr>
        <w:t>Figure</w:t>
      </w:r>
      <w:r w:rsidRPr="00CE0424">
        <w:t xml:space="preserve"> </w:t>
      </w:r>
      <w:r w:rsidR="00100248">
        <w:fldChar w:fldCharType="begin"/>
      </w:r>
      <w:r w:rsidR="00100248">
        <w:instrText xml:space="preserve"> SEQ Figure \* ARABIC </w:instrText>
      </w:r>
      <w:r w:rsidR="00100248">
        <w:fldChar w:fldCharType="separate"/>
      </w:r>
      <w:r w:rsidR="00BE31F7">
        <w:rPr>
          <w:noProof/>
        </w:rPr>
        <w:t>11</w:t>
      </w:r>
      <w:r w:rsidR="00100248">
        <w:rPr>
          <w:noProof/>
        </w:rPr>
        <w:fldChar w:fldCharType="end"/>
      </w:r>
      <w:bookmarkEnd w:id="85"/>
      <w:r w:rsidRPr="00CE0424">
        <w:t>:</w:t>
      </w:r>
      <w:r>
        <w:rPr>
          <w:lang w:val="en-US"/>
        </w:rPr>
        <w:t xml:space="preserve"> Analysis of inter-symbol interferences from symbol X-1 and X+1 to and loss of orthogonality in symbol X.</w:t>
      </w:r>
    </w:p>
    <w:p w14:paraId="57E15FD0" w14:textId="06FB995F" w:rsidR="00553A2F" w:rsidRPr="00EA0A41" w:rsidRDefault="00553A2F" w:rsidP="00553A2F">
      <w:pPr>
        <w:pStyle w:val="BodyText"/>
      </w:pPr>
      <w:r w:rsidRPr="00EA0A41">
        <w:t>The ratio of energy received in the receive window of symbol X and originating from symbol X to the energy originating from symbol X</w:t>
      </w:r>
      <w:r>
        <w:t>-1</w:t>
      </w:r>
      <w:r w:rsidRPr="00EA0A41">
        <w:t xml:space="preserve"> and X+</w:t>
      </w:r>
      <w:r>
        <w:t>1</w:t>
      </w:r>
      <w:r w:rsidRPr="00EA0A41">
        <w:t xml:space="preserve"> due to time dispersion can then be approximated by </w:t>
      </w:r>
      <w:r>
        <w:fldChar w:fldCharType="begin"/>
      </w:r>
      <w:r w:rsidRPr="00EA0A41">
        <w:instrText xml:space="preserve"> REF _Ref39243463 \r \h </w:instrText>
      </w:r>
      <w:r>
        <w:fldChar w:fldCharType="separate"/>
      </w:r>
      <w:r w:rsidR="00BE31F7">
        <w:t>[10]</w:t>
      </w:r>
      <w:r>
        <w:fldChar w:fldCharType="end"/>
      </w:r>
      <w:r w:rsidRPr="00EA0A41">
        <w:t>:</w:t>
      </w:r>
    </w:p>
    <w:p w14:paraId="7C259D14" w14:textId="77777777" w:rsidR="00553A2F" w:rsidRDefault="000003FD" w:rsidP="00553A2F">
      <w:pPr>
        <w:pStyle w:val="BodyText"/>
      </w:pPr>
      <m:oMathPara>
        <m:oMath>
          <m:r>
            <w:rPr>
              <w:rFonts w:ascii="Cambria Math" w:hAnsi="Cambria Math"/>
            </w:rPr>
            <m:t>SIR=</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symb</m:t>
                  </m:r>
                </m:sub>
              </m:sSub>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p</m:t>
                      </m:r>
                    </m:e>
                    <m:sub>
                      <m:r>
                        <w:rPr>
                          <w:rFonts w:ascii="Cambria Math" w:hAnsi="Cambria Math"/>
                        </w:rPr>
                        <m:t>n</m:t>
                      </m:r>
                    </m:sub>
                  </m:sSub>
                </m:e>
              </m:nary>
            </m:num>
            <m:den>
              <m:r>
                <w:rPr>
                  <w:rFonts w:ascii="Cambria Math" w:hAnsi="Cambria Math"/>
                </w:rPr>
                <m:t>2</m:t>
              </m:r>
              <m:nary>
                <m:naryPr>
                  <m:chr m:val="∑"/>
                  <m:supHide m:val="1"/>
                  <m:ctrlPr>
                    <w:rPr>
                      <w:rFonts w:ascii="Cambria Math" w:hAnsi="Cambria Math"/>
                      <w:i/>
                    </w:rPr>
                  </m:ctrlPr>
                </m:naryPr>
                <m:sub>
                  <m:r>
                    <w:rPr>
                      <w:rFonts w:ascii="Cambria Math" w:hAnsi="Cambria Math"/>
                    </w:rPr>
                    <m:t>n</m:t>
                  </m:r>
                </m:sub>
                <m:sup/>
                <m:e>
                  <m:sSub>
                    <m:sSubPr>
                      <m:ctrlPr>
                        <w:rPr>
                          <w:rFonts w:ascii="Cambria Math" w:hAnsi="Cambria Math"/>
                          <w:i/>
                        </w:rPr>
                      </m:ctrlPr>
                    </m:sSubPr>
                    <m:e>
                      <m:r>
                        <w:rPr>
                          <w:rFonts w:ascii="Cambria Math" w:hAnsi="Cambria Math"/>
                        </w:rPr>
                        <m:t>e</m:t>
                      </m:r>
                    </m:e>
                    <m:sub>
                      <m:r>
                        <w:rPr>
                          <w:rFonts w:ascii="Cambria Math" w:hAnsi="Cambria Math"/>
                        </w:rPr>
                        <m:t>n</m:t>
                      </m:r>
                    </m:sub>
                  </m:sSub>
                  <m:sSub>
                    <m:sSubPr>
                      <m:ctrlPr>
                        <w:rPr>
                          <w:rFonts w:ascii="Cambria Math" w:hAnsi="Cambria Math"/>
                          <w:i/>
                        </w:rPr>
                      </m:ctrlPr>
                    </m:sSubPr>
                    <m:e>
                      <m:r>
                        <w:rPr>
                          <w:rFonts w:ascii="Cambria Math" w:hAnsi="Cambria Math"/>
                        </w:rPr>
                        <m:t>p</m:t>
                      </m:r>
                    </m:e>
                    <m:sub>
                      <m:r>
                        <w:rPr>
                          <w:rFonts w:ascii="Cambria Math" w:hAnsi="Cambria Math"/>
                        </w:rPr>
                        <m:t>n</m:t>
                      </m:r>
                    </m:sub>
                  </m:sSub>
                </m:e>
              </m:nary>
            </m:den>
          </m:f>
        </m:oMath>
      </m:oMathPara>
    </w:p>
    <w:p w14:paraId="4A080565" w14:textId="77777777" w:rsidR="00553A2F" w:rsidRPr="00EA0A41" w:rsidRDefault="00553A2F" w:rsidP="00553A2F">
      <w:pPr>
        <w:pStyle w:val="BodyText"/>
      </w:pPr>
      <w:r w:rsidRPr="00EA0A41">
        <w:t xml:space="preserve">where </w:t>
      </w:r>
      <m:oMath>
        <m:sSub>
          <m:sSubPr>
            <m:ctrlPr>
              <w:rPr>
                <w:rFonts w:ascii="Cambria Math" w:hAnsi="Cambria Math"/>
                <w:i/>
              </w:rPr>
            </m:ctrlPr>
          </m:sSubPr>
          <m:e>
            <m:r>
              <w:rPr>
                <w:rFonts w:ascii="Cambria Math" w:hAnsi="Cambria Math"/>
              </w:rPr>
              <m:t>T</m:t>
            </m:r>
          </m:e>
          <m:sub>
            <m:r>
              <w:rPr>
                <w:rFonts w:ascii="Cambria Math" w:hAnsi="Cambria Math"/>
              </w:rPr>
              <m:t>symb</m:t>
            </m:r>
          </m:sub>
        </m:sSub>
      </m:oMath>
      <w:r w:rsidRPr="00EA0A41">
        <w:t xml:space="preserve"> is the OFDM symbol duration</w:t>
      </w:r>
      <w:r>
        <w:t>.</w:t>
      </w:r>
      <w:r w:rsidRPr="00EA0A41">
        <w:t xml:space="preserve"> </w:t>
      </w:r>
      <w:r>
        <w:t>The</w:t>
      </w:r>
      <w:r w:rsidRPr="00EA0A41">
        <w:t xml:space="preserve"> ISI </w:t>
      </w:r>
      <w:r>
        <w:t>integration</w:t>
      </w:r>
      <w:r w:rsidRPr="00EA0A41">
        <w:t xml:space="preserve"> duration, </w:t>
      </w:r>
      <m:oMath>
        <m:sSub>
          <m:sSubPr>
            <m:ctrlPr>
              <w:rPr>
                <w:rFonts w:ascii="Cambria Math" w:hAnsi="Cambria Math"/>
                <w:i/>
              </w:rPr>
            </m:ctrlPr>
          </m:sSubPr>
          <m:e>
            <m:r>
              <w:rPr>
                <w:rFonts w:ascii="Cambria Math" w:hAnsi="Cambria Math"/>
              </w:rPr>
              <m:t>e</m:t>
            </m:r>
          </m:e>
          <m:sub>
            <m:r>
              <w:rPr>
                <w:rFonts w:ascii="Cambria Math" w:hAnsi="Cambria Math"/>
              </w:rPr>
              <m:t>n</m:t>
            </m:r>
          </m:sub>
        </m:sSub>
      </m:oMath>
      <w:r w:rsidRPr="00EA0A41">
        <w:t>, is given by</w:t>
      </w:r>
    </w:p>
    <w:p w14:paraId="30C3DAB8" w14:textId="77777777" w:rsidR="00553A2F" w:rsidRDefault="00B04ED4" w:rsidP="00553A2F">
      <w:pPr>
        <w:pStyle w:val="BodyText"/>
      </w:pPr>
      <m:oMathPara>
        <m:oMath>
          <m:sSub>
            <m:sSubPr>
              <m:ctrlPr>
                <w:rPr>
                  <w:rFonts w:ascii="Cambria Math" w:hAnsi="Cambria Math"/>
                  <w:i/>
                </w:rPr>
              </m:ctrlPr>
            </m:sSubPr>
            <m:e>
              <m:r>
                <w:rPr>
                  <w:rFonts w:ascii="Cambria Math" w:hAnsi="Cambria Math"/>
                </w:rPr>
                <m:t>e</m:t>
              </m:r>
            </m:e>
            <m:sub>
              <m:r>
                <w:rPr>
                  <w:rFonts w:ascii="Cambria Math" w:hAnsi="Cambria Math"/>
                </w:rPr>
                <m:t>n</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t</m:t>
                      </m:r>
                    </m:e>
                    <m:sub>
                      <m:r>
                        <w:rPr>
                          <w:rFonts w:ascii="Cambria Math" w:hAnsi="Cambria Math"/>
                        </w:rPr>
                        <m:t>sync</m:t>
                      </m:r>
                    </m:sub>
                  </m:sSub>
                  <m:r>
                    <w:rPr>
                      <w:rFonts w:ascii="Cambria Math" w:hAnsi="Cambria Math"/>
                    </w:rPr>
                    <m:t>-</m:t>
                  </m:r>
                  <m:sSub>
                    <m:sSubPr>
                      <m:ctrlPr>
                        <w:rPr>
                          <w:rFonts w:ascii="Cambria Math" w:hAnsi="Cambria Math"/>
                          <w:i/>
                        </w:rPr>
                      </m:ctrlPr>
                    </m:sSubPr>
                    <m:e>
                      <m:r>
                        <w:rPr>
                          <w:rFonts w:ascii="Cambria Math" w:hAnsi="Cambria Math"/>
                        </w:rPr>
                        <m:t>τ</m:t>
                      </m:r>
                    </m:e>
                    <m:sub>
                      <m:r>
                        <w:rPr>
                          <w:rFonts w:ascii="Cambria Math" w:hAnsi="Cambria Math"/>
                        </w:rPr>
                        <m:t>n</m:t>
                      </m:r>
                    </m:sub>
                  </m:sSub>
                </m:e>
              </m:d>
            </m:e>
          </m:func>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0, </m:t>
                  </m:r>
                  <m:sSub>
                    <m:sSubPr>
                      <m:ctrlPr>
                        <w:rPr>
                          <w:rFonts w:ascii="Cambria Math" w:hAnsi="Cambria Math"/>
                          <w:i/>
                        </w:rPr>
                      </m:ctrlPr>
                    </m:sSubPr>
                    <m:e>
                      <m:r>
                        <w:rPr>
                          <w:rFonts w:ascii="Cambria Math" w:hAnsi="Cambria Math"/>
                        </w:rPr>
                        <m:t>τ</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sync</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CP</m:t>
                      </m:r>
                    </m:sub>
                  </m:sSub>
                </m:e>
              </m:d>
            </m:e>
          </m:func>
        </m:oMath>
      </m:oMathPara>
    </w:p>
    <w:p w14:paraId="64AA9551" w14:textId="31FA0DB5" w:rsidR="00553A2F" w:rsidRDefault="00553A2F" w:rsidP="00553A2F">
      <w:pPr>
        <w:pStyle w:val="BodyText"/>
      </w:pPr>
      <w:r w:rsidRPr="00EA0A41">
        <w:t xml:space="preserve">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Pr="00EA0A41">
        <w:t xml:space="preserve"> is the CP </w:t>
      </w:r>
      <w:proofErr w:type="gramStart"/>
      <w:r w:rsidRPr="00EA0A41">
        <w:t>duration.</w:t>
      </w:r>
      <w:proofErr w:type="gramEnd"/>
      <w:r w:rsidRPr="00EA0A41">
        <w:t xml:space="preserve"> The first term of </w:t>
      </w:r>
      <m:oMath>
        <m:sSub>
          <m:sSubPr>
            <m:ctrlPr>
              <w:rPr>
                <w:rFonts w:ascii="Cambria Math" w:hAnsi="Cambria Math"/>
                <w:i/>
              </w:rPr>
            </m:ctrlPr>
          </m:sSubPr>
          <m:e>
            <m:r>
              <w:rPr>
                <w:rFonts w:ascii="Cambria Math" w:hAnsi="Cambria Math"/>
              </w:rPr>
              <m:t>e</m:t>
            </m:r>
          </m:e>
          <m:sub>
            <m:r>
              <w:rPr>
                <w:rFonts w:ascii="Cambria Math" w:hAnsi="Cambria Math"/>
              </w:rPr>
              <m:t>n</m:t>
            </m:r>
          </m:sub>
        </m:sSub>
      </m:oMath>
      <w:r w:rsidRPr="00EA0A41">
        <w:t xml:space="preserve"> is non-zero if the tap is early</w:t>
      </w:r>
      <w:r>
        <w:t xml:space="preserve"> and the second term is non-zero </w:t>
      </w:r>
      <w:r w:rsidRPr="00EA0A41">
        <w:t xml:space="preserve">if the tap is late (taking CP duration into account). </w:t>
      </w:r>
      <w:r>
        <w:t>As noted above, t</w:t>
      </w:r>
      <w:r w:rsidRPr="00EA0A41">
        <w:t>he factor of two in the denominator is to account for the loss of orthogonality between subcarriers caused by an impulse response not being fully contained in the CP as the effect of such long impulse response on the actual OFDM symbol cannot be expressed as a cyclic convolution.</w:t>
      </w:r>
    </w:p>
    <w:p w14:paraId="23923421" w14:textId="41972663" w:rsidR="00553A2F" w:rsidRDefault="00A84D00" w:rsidP="00553A2F">
      <w:pPr>
        <w:pStyle w:val="BodyText"/>
      </w:pPr>
      <w:r>
        <w:t xml:space="preserve">From the SIR formula, it can be observed that given fixed </w:t>
      </w:r>
      <w:r w:rsidRPr="00EA0A41">
        <w:t xml:space="preserve">tap powers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oMath>
      <w:r>
        <w:t>, the numerator is directly proportional to the OFDM symbol duration</w:t>
      </w:r>
      <w:r w:rsidR="0031311A">
        <w:t xml:space="preserve"> </w:t>
      </w:r>
      <m:oMath>
        <m:sSub>
          <m:sSubPr>
            <m:ctrlPr>
              <w:rPr>
                <w:rFonts w:ascii="Cambria Math" w:hAnsi="Cambria Math"/>
                <w:i/>
              </w:rPr>
            </m:ctrlPr>
          </m:sSubPr>
          <m:e>
            <m:r>
              <w:rPr>
                <w:rFonts w:ascii="Cambria Math" w:hAnsi="Cambria Math"/>
              </w:rPr>
              <m:t>T</m:t>
            </m:r>
          </m:e>
          <m:sub>
            <m:r>
              <w:rPr>
                <w:rFonts w:ascii="Cambria Math" w:hAnsi="Cambria Math"/>
              </w:rPr>
              <m:t>symb</m:t>
            </m:r>
          </m:sub>
        </m:sSub>
      </m:oMath>
      <w:r w:rsidR="0031311A">
        <w:t xml:space="preserve"> which becomes shorter with larger SCS.</w:t>
      </w:r>
      <w:r>
        <w:t xml:space="preserve"> Therefore, SIR can still be severely limited by short OFDM symbol duration associated with large SCSs even </w:t>
      </w:r>
      <w:r w:rsidR="0031311A">
        <w:t xml:space="preserve">in the optimistic case that </w:t>
      </w:r>
      <w:r>
        <w:t>the amount of the ISI remains the same</w:t>
      </w:r>
      <w:r w:rsidR="0031311A">
        <w:t xml:space="preserve"> as the SCS is increased. Consequently, the coverage for a certain data rate shrinks as the SCS is increased.</w:t>
      </w:r>
    </w:p>
    <w:p w14:paraId="22B2BF58" w14:textId="3C9041B0" w:rsidR="006B0D57" w:rsidRDefault="006B0D57" w:rsidP="006B0D57">
      <w:pPr>
        <w:pStyle w:val="Heading2"/>
      </w:pPr>
      <w:bookmarkStart w:id="86" w:name="_Toc53775891"/>
      <w:r>
        <w:lastRenderedPageBreak/>
        <w:t>3.</w:t>
      </w:r>
      <w:r w:rsidR="00553A2F">
        <w:t>2</w:t>
      </w:r>
      <w:r>
        <w:tab/>
      </w:r>
      <w:bookmarkEnd w:id="74"/>
      <w:bookmarkEnd w:id="75"/>
      <w:r>
        <w:t>Delay spread issues</w:t>
      </w:r>
      <w:bookmarkEnd w:id="86"/>
    </w:p>
    <w:p w14:paraId="7576DAEF" w14:textId="55493F72" w:rsidR="00A30E14" w:rsidRDefault="006B0D57" w:rsidP="006B0D57">
      <w:pPr>
        <w:pStyle w:val="BodyText"/>
      </w:pPr>
      <w:r>
        <w:t>With large</w:t>
      </w:r>
      <w:r w:rsidR="00B758BC">
        <w:t>r</w:t>
      </w:r>
      <w:r>
        <w:t xml:space="preserve"> sub-carrier spacing</w:t>
      </w:r>
      <w:r w:rsidR="00A30E14">
        <w:t>s</w:t>
      </w:r>
      <w:r>
        <w:t xml:space="preserve">, the OFDM symbol duration and the associated cyclic prefix (CP) duration become shorter. As shown in </w:t>
      </w:r>
      <w:r>
        <w:fldChar w:fldCharType="begin"/>
      </w:r>
      <w:r>
        <w:instrText xml:space="preserve"> REF _Ref39485433 \h </w:instrText>
      </w:r>
      <w:r>
        <w:fldChar w:fldCharType="separate"/>
      </w:r>
      <w:r w:rsidR="00BE31F7">
        <w:t>Figure</w:t>
      </w:r>
      <w:r w:rsidR="00BE31F7" w:rsidRPr="009468CF">
        <w:t xml:space="preserve"> </w:t>
      </w:r>
      <w:r w:rsidR="00BE31F7">
        <w:rPr>
          <w:noProof/>
        </w:rPr>
        <w:t>12</w:t>
      </w:r>
      <w:r>
        <w:fldChar w:fldCharType="end"/>
      </w:r>
      <w:r>
        <w:t xml:space="preserve">, the normal CP lengths are reduced from 586 ns for 120 kHz SCS to 73 ns for 960 kHz. Such short CP lengths present </w:t>
      </w:r>
      <w:r w:rsidR="00A30E14">
        <w:t xml:space="preserve">serious </w:t>
      </w:r>
      <w:r>
        <w:t>link performance limitation</w:t>
      </w:r>
      <w:r w:rsidR="00A30E14">
        <w:t>s</w:t>
      </w:r>
      <w:r>
        <w:t xml:space="preserve"> to NR operation in the 52.6 – 71 GHz frequency range</w:t>
      </w:r>
      <w:r w:rsidR="00A30E14">
        <w:t xml:space="preserve"> for environments with post-beamforming RMS delay spreads that are a significant fraction of the CP</w:t>
      </w:r>
      <w:r w:rsidR="00B758BC">
        <w:t xml:space="preserve"> duration</w:t>
      </w:r>
      <w:r>
        <w:t>.</w:t>
      </w:r>
      <w:r w:rsidR="00A30E14">
        <w:t xml:space="preserve"> In such environments there is </w:t>
      </w:r>
      <w:proofErr w:type="gramStart"/>
      <w:r w:rsidR="00A30E14">
        <w:t>little</w:t>
      </w:r>
      <w:proofErr w:type="gramEnd"/>
      <w:r w:rsidR="00A30E14">
        <w:t xml:space="preserve"> or no margin left for other sources of synchronization errors such as initial timing error, timing advance setting, timing advance adjustment granularity, and timing differences expected in multi-TRP deployments (see detailed discussion in Section 3.4).</w:t>
      </w:r>
    </w:p>
    <w:p w14:paraId="78AA7FF7" w14:textId="463A3E75" w:rsidR="006B0D57" w:rsidRPr="004370BD" w:rsidRDefault="006B0D57" w:rsidP="006B0D57">
      <w:pPr>
        <w:pStyle w:val="TF"/>
        <w:keepLines w:val="0"/>
        <w:spacing w:before="0" w:after="240"/>
        <w:rPr>
          <w:lang w:val="en-US"/>
        </w:rPr>
      </w:pPr>
      <w:bookmarkStart w:id="87" w:name="_Ref39485433"/>
      <w:r>
        <w:rPr>
          <w:lang w:val="en-US"/>
        </w:rPr>
        <w:t>Figure</w:t>
      </w:r>
      <w:r w:rsidRPr="009468CF">
        <w:rPr>
          <w:lang w:val="en-US"/>
        </w:rPr>
        <w:t xml:space="preserve"> </w:t>
      </w:r>
      <w:r w:rsidRPr="009468CF">
        <w:rPr>
          <w:lang w:val="en-US"/>
        </w:rPr>
        <w:fldChar w:fldCharType="begin"/>
      </w:r>
      <w:r w:rsidRPr="009468CF">
        <w:rPr>
          <w:lang w:val="en-US"/>
        </w:rPr>
        <w:instrText xml:space="preserve"> SEQ Figure \* ARABIC </w:instrText>
      </w:r>
      <w:r w:rsidRPr="009468CF">
        <w:rPr>
          <w:lang w:val="en-US"/>
        </w:rPr>
        <w:fldChar w:fldCharType="separate"/>
      </w:r>
      <w:r w:rsidR="00BE31F7">
        <w:rPr>
          <w:noProof/>
          <w:lang w:val="en-US"/>
        </w:rPr>
        <w:t>12</w:t>
      </w:r>
      <w:r w:rsidRPr="009468CF">
        <w:rPr>
          <w:lang w:val="en-US"/>
        </w:rPr>
        <w:fldChar w:fldCharType="end"/>
      </w:r>
      <w:bookmarkEnd w:id="87"/>
      <w:r w:rsidRPr="009468CF">
        <w:rPr>
          <w:lang w:val="en-US"/>
        </w:rPr>
        <w:t>:</w:t>
      </w:r>
      <w:r>
        <w:rPr>
          <w:lang w:val="en-US"/>
        </w:rPr>
        <w:t xml:space="preserve"> Normal CP durations for different </w:t>
      </w:r>
      <w:r w:rsidRPr="009468CF">
        <w:rPr>
          <w:lang w:val="en-US"/>
        </w:rPr>
        <w:t>sub-carrier spacing</w:t>
      </w:r>
      <w:r>
        <w:rPr>
          <w:lang w:val="en-US"/>
        </w:rPr>
        <w:t>s</w:t>
      </w:r>
    </w:p>
    <w:tbl>
      <w:tblPr>
        <w:tblStyle w:val="TableGrid"/>
        <w:tblW w:w="7367" w:type="dxa"/>
        <w:jc w:val="center"/>
        <w:tblLook w:val="04A0" w:firstRow="1" w:lastRow="0" w:firstColumn="1" w:lastColumn="0" w:noHBand="0" w:noVBand="1"/>
      </w:tblPr>
      <w:tblGrid>
        <w:gridCol w:w="2110"/>
        <w:gridCol w:w="1048"/>
        <w:gridCol w:w="1050"/>
        <w:gridCol w:w="1050"/>
        <w:gridCol w:w="1014"/>
        <w:gridCol w:w="1095"/>
      </w:tblGrid>
      <w:tr w:rsidR="00A30E14" w:rsidRPr="003D63C4" w14:paraId="56B26883" w14:textId="77777777" w:rsidTr="003C2819">
        <w:trPr>
          <w:jc w:val="center"/>
        </w:trPr>
        <w:tc>
          <w:tcPr>
            <w:tcW w:w="2110" w:type="dxa"/>
            <w:vAlign w:val="bottom"/>
          </w:tcPr>
          <w:p w14:paraId="3FFC0E95" w14:textId="77777777" w:rsidR="00A30E14" w:rsidRPr="00552480" w:rsidRDefault="00A30E14" w:rsidP="00B648EA">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SCS [kHz]</w:t>
            </w:r>
          </w:p>
        </w:tc>
        <w:tc>
          <w:tcPr>
            <w:tcW w:w="1048" w:type="dxa"/>
            <w:vAlign w:val="bottom"/>
          </w:tcPr>
          <w:p w14:paraId="43C83AAD" w14:textId="77777777" w:rsidR="00A30E14" w:rsidRPr="00552480" w:rsidRDefault="00A30E14" w:rsidP="00B648EA">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120</w:t>
            </w:r>
          </w:p>
        </w:tc>
        <w:tc>
          <w:tcPr>
            <w:tcW w:w="1050" w:type="dxa"/>
            <w:vAlign w:val="bottom"/>
          </w:tcPr>
          <w:p w14:paraId="737FE2CD" w14:textId="77777777" w:rsidR="00A30E14" w:rsidRPr="00552480" w:rsidRDefault="00A30E14" w:rsidP="00B648EA">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240</w:t>
            </w:r>
          </w:p>
        </w:tc>
        <w:tc>
          <w:tcPr>
            <w:tcW w:w="1050" w:type="dxa"/>
            <w:vAlign w:val="bottom"/>
          </w:tcPr>
          <w:p w14:paraId="0C2CB827" w14:textId="77777777" w:rsidR="00A30E14" w:rsidRPr="00552480" w:rsidRDefault="00A30E14" w:rsidP="00B648EA">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480</w:t>
            </w:r>
          </w:p>
        </w:tc>
        <w:tc>
          <w:tcPr>
            <w:tcW w:w="1014" w:type="dxa"/>
            <w:vAlign w:val="bottom"/>
          </w:tcPr>
          <w:p w14:paraId="2AA17661" w14:textId="77777777" w:rsidR="00A30E14" w:rsidRPr="00552480" w:rsidRDefault="00A30E14" w:rsidP="00B648EA">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960</w:t>
            </w:r>
          </w:p>
        </w:tc>
        <w:tc>
          <w:tcPr>
            <w:tcW w:w="1095" w:type="dxa"/>
          </w:tcPr>
          <w:p w14:paraId="36FB0317" w14:textId="77777777" w:rsidR="00A30E14" w:rsidRPr="00552480" w:rsidRDefault="00A30E14" w:rsidP="00B648EA">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Overhead</w:t>
            </w:r>
          </w:p>
        </w:tc>
      </w:tr>
      <w:tr w:rsidR="00A30E14" w:rsidRPr="003D63C4" w14:paraId="44131284" w14:textId="77777777" w:rsidTr="003C2819">
        <w:trPr>
          <w:jc w:val="center"/>
        </w:trPr>
        <w:tc>
          <w:tcPr>
            <w:tcW w:w="2110" w:type="dxa"/>
            <w:vAlign w:val="bottom"/>
          </w:tcPr>
          <w:p w14:paraId="15605DA8" w14:textId="77777777" w:rsidR="00A30E14" w:rsidRPr="00552480" w:rsidRDefault="00A30E14" w:rsidP="00B648EA">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 xml:space="preserve">NCP </w:t>
            </w:r>
            <w:r w:rsidRPr="00552480">
              <w:rPr>
                <w:rFonts w:eastAsiaTheme="minorEastAsia" w:cs="Arial"/>
                <w:color w:val="000000" w:themeColor="text1"/>
                <w:kern w:val="24"/>
              </w:rPr>
              <w:t>duration [</w:t>
            </w:r>
            <w:r>
              <w:rPr>
                <w:rFonts w:eastAsiaTheme="minorEastAsia" w:cs="Arial"/>
                <w:color w:val="000000" w:themeColor="text1"/>
                <w:kern w:val="24"/>
              </w:rPr>
              <w:t>n</w:t>
            </w:r>
            <w:r w:rsidRPr="00552480">
              <w:rPr>
                <w:rFonts w:eastAsiaTheme="minorEastAsia" w:cs="Arial"/>
                <w:color w:val="000000" w:themeColor="text1"/>
                <w:kern w:val="24"/>
              </w:rPr>
              <w:t>s]</w:t>
            </w:r>
          </w:p>
        </w:tc>
        <w:tc>
          <w:tcPr>
            <w:tcW w:w="1048" w:type="dxa"/>
          </w:tcPr>
          <w:p w14:paraId="2CF5B75F" w14:textId="77777777" w:rsidR="00A30E14" w:rsidRPr="00552480" w:rsidRDefault="00A30E14" w:rsidP="00B648EA">
            <w:pPr>
              <w:pStyle w:val="BodyText"/>
              <w:spacing w:before="40" w:after="40"/>
              <w:jc w:val="center"/>
              <w:rPr>
                <w:rFonts w:eastAsiaTheme="minorEastAsia" w:cs="Arial"/>
                <w:color w:val="000000" w:themeColor="text1"/>
                <w:kern w:val="24"/>
              </w:rPr>
            </w:pPr>
            <w:r w:rsidRPr="00EC386E">
              <w:t>585.9</w:t>
            </w:r>
          </w:p>
        </w:tc>
        <w:tc>
          <w:tcPr>
            <w:tcW w:w="1050" w:type="dxa"/>
          </w:tcPr>
          <w:p w14:paraId="698879F9" w14:textId="77777777" w:rsidR="00A30E14" w:rsidRPr="00552480" w:rsidRDefault="00A30E14" w:rsidP="00B648EA">
            <w:pPr>
              <w:pStyle w:val="BodyText"/>
              <w:spacing w:before="40" w:after="40"/>
              <w:jc w:val="center"/>
              <w:rPr>
                <w:rFonts w:eastAsiaTheme="minorEastAsia" w:cs="Arial"/>
                <w:color w:val="000000" w:themeColor="text1"/>
                <w:kern w:val="24"/>
              </w:rPr>
            </w:pPr>
            <w:r w:rsidRPr="00EC386E">
              <w:t>293.0</w:t>
            </w:r>
          </w:p>
        </w:tc>
        <w:tc>
          <w:tcPr>
            <w:tcW w:w="1050" w:type="dxa"/>
          </w:tcPr>
          <w:p w14:paraId="33BC23B8" w14:textId="77777777" w:rsidR="00A30E14" w:rsidRPr="00552480" w:rsidRDefault="00A30E14" w:rsidP="00B648EA">
            <w:pPr>
              <w:pStyle w:val="BodyText"/>
              <w:spacing w:before="40" w:after="40"/>
              <w:jc w:val="center"/>
              <w:rPr>
                <w:rFonts w:eastAsiaTheme="minorEastAsia" w:cs="Arial"/>
                <w:color w:val="000000" w:themeColor="text1"/>
                <w:kern w:val="24"/>
              </w:rPr>
            </w:pPr>
            <w:r w:rsidRPr="00EC386E">
              <w:t>146.5</w:t>
            </w:r>
          </w:p>
        </w:tc>
        <w:tc>
          <w:tcPr>
            <w:tcW w:w="1014" w:type="dxa"/>
          </w:tcPr>
          <w:p w14:paraId="53B310A6" w14:textId="77777777" w:rsidR="00A30E14" w:rsidRPr="00552480" w:rsidRDefault="00A30E14" w:rsidP="00B648EA">
            <w:pPr>
              <w:pStyle w:val="BodyText"/>
              <w:spacing w:before="40" w:after="40"/>
              <w:jc w:val="center"/>
              <w:rPr>
                <w:rFonts w:eastAsiaTheme="minorEastAsia" w:cs="Arial"/>
                <w:color w:val="000000" w:themeColor="text1"/>
                <w:kern w:val="24"/>
              </w:rPr>
            </w:pPr>
            <w:r w:rsidRPr="00EC386E">
              <w:t>73.2</w:t>
            </w:r>
          </w:p>
        </w:tc>
        <w:tc>
          <w:tcPr>
            <w:tcW w:w="1095" w:type="dxa"/>
          </w:tcPr>
          <w:p w14:paraId="6F87B40C" w14:textId="77777777" w:rsidR="00A30E14" w:rsidRPr="00931B68" w:rsidRDefault="00A30E14" w:rsidP="00B648EA">
            <w:pPr>
              <w:pStyle w:val="BodyText"/>
              <w:spacing w:before="40" w:after="40"/>
              <w:jc w:val="center"/>
            </w:pPr>
            <w:r>
              <w:t>6.7%</w:t>
            </w:r>
          </w:p>
        </w:tc>
      </w:tr>
    </w:tbl>
    <w:p w14:paraId="2ABA29FF" w14:textId="77777777" w:rsidR="006B0D57" w:rsidRDefault="006B0D57" w:rsidP="006B0D57">
      <w:pPr>
        <w:pStyle w:val="BodyText"/>
      </w:pPr>
    </w:p>
    <w:p w14:paraId="278D8ED4" w14:textId="48676860" w:rsidR="00A30E14" w:rsidRDefault="00A30E14" w:rsidP="006B0D57">
      <w:pPr>
        <w:pStyle w:val="BodyText"/>
      </w:pPr>
      <w:r>
        <w:t xml:space="preserve">One such environment for which the post-beamforming delay spread </w:t>
      </w:r>
      <w:r w:rsidR="00225BAE">
        <w:t>can be</w:t>
      </w:r>
      <w:r>
        <w:t xml:space="preserve"> a significant fraction of the CP duration </w:t>
      </w:r>
      <w:r w:rsidR="00B758BC">
        <w:t xml:space="preserve">for 960 kHz SCS </w:t>
      </w:r>
      <w:r>
        <w:t xml:space="preserve">is the </w:t>
      </w:r>
      <w:r w:rsidR="005B281C">
        <w:t>Factory Scenario</w:t>
      </w:r>
      <w:r w:rsidR="00B758BC">
        <w:t>-A (</w:t>
      </w:r>
      <w:proofErr w:type="spellStart"/>
      <w:r w:rsidR="00B758BC">
        <w:t>InF</w:t>
      </w:r>
      <w:proofErr w:type="spellEnd"/>
      <w:r w:rsidR="00B758BC">
        <w:t xml:space="preserve">-DL) defined in TR 38.808 as one of the system level evaluation scenarios </w:t>
      </w:r>
      <w:r w:rsidR="00B758BC">
        <w:fldChar w:fldCharType="begin"/>
      </w:r>
      <w:r w:rsidR="00B758BC">
        <w:instrText xml:space="preserve"> REF _Ref53500598 \r \h </w:instrText>
      </w:r>
      <w:r w:rsidR="00B758BC">
        <w:fldChar w:fldCharType="separate"/>
      </w:r>
      <w:r w:rsidR="00BE31F7">
        <w:t>[8]</w:t>
      </w:r>
      <w:r w:rsidR="00B758BC">
        <w:fldChar w:fldCharType="end"/>
      </w:r>
      <w:r w:rsidR="00B758BC">
        <w:t xml:space="preserve">. The layout for this scenario is illustrated in </w:t>
      </w:r>
      <w:r w:rsidR="00B758BC">
        <w:fldChar w:fldCharType="begin"/>
      </w:r>
      <w:r w:rsidR="00B758BC">
        <w:instrText xml:space="preserve"> REF _Ref53500897 \h </w:instrText>
      </w:r>
      <w:r w:rsidR="00B758BC">
        <w:fldChar w:fldCharType="separate"/>
      </w:r>
      <w:r w:rsidR="00BE31F7" w:rsidRPr="004F69A1">
        <w:t xml:space="preserve">Figure </w:t>
      </w:r>
      <w:r w:rsidR="00BE31F7">
        <w:rPr>
          <w:rFonts w:cs="Arial"/>
          <w:noProof/>
        </w:rPr>
        <w:t>13</w:t>
      </w:r>
      <w:r w:rsidR="00B758BC">
        <w:fldChar w:fldCharType="end"/>
      </w:r>
      <w:r w:rsidR="00B758BC">
        <w:t xml:space="preserve"> in which there are 18 </w:t>
      </w:r>
      <w:proofErr w:type="spellStart"/>
      <w:r w:rsidR="005B281C">
        <w:t>gNBs</w:t>
      </w:r>
      <w:proofErr w:type="spellEnd"/>
      <w:r w:rsidR="00B758BC">
        <w:t xml:space="preserve"> deployed in a lattice within the factory hall.</w:t>
      </w:r>
    </w:p>
    <w:p w14:paraId="5BC56D99" w14:textId="77777777" w:rsidR="00B758BC" w:rsidRDefault="00B758BC" w:rsidP="006B0D57">
      <w:pPr>
        <w:pStyle w:val="BodyText"/>
      </w:pPr>
    </w:p>
    <w:p w14:paraId="2D620734" w14:textId="77777777" w:rsidR="00B758BC" w:rsidRPr="00A75597" w:rsidRDefault="00B758BC" w:rsidP="00B758BC">
      <w:pPr>
        <w:jc w:val="center"/>
        <w:rPr>
          <w:lang w:eastAsia="en-GB"/>
        </w:rPr>
      </w:pPr>
      <w:r>
        <w:rPr>
          <w:noProof/>
          <w:lang w:eastAsia="en-GB"/>
        </w:rPr>
        <w:drawing>
          <wp:inline distT="0" distB="0" distL="0" distR="0" wp14:anchorId="38FE0ED1" wp14:editId="286DA769">
            <wp:extent cx="2742481" cy="1364974"/>
            <wp:effectExtent l="0" t="0" r="0" b="6985"/>
            <wp:docPr id="60" name="Picture 60" descr="A picture containing 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nF Layout.png"/>
                    <pic:cNvPicPr/>
                  </pic:nvPicPr>
                  <pic:blipFill rotWithShape="1">
                    <a:blip r:embed="rId24" cstate="print">
                      <a:extLst>
                        <a:ext uri="{28A0092B-C50C-407E-A947-70E740481C1C}">
                          <a14:useLocalDpi xmlns:a14="http://schemas.microsoft.com/office/drawing/2010/main" val="0"/>
                        </a:ext>
                      </a:extLst>
                    </a:blip>
                    <a:srcRect b="6091"/>
                    <a:stretch/>
                  </pic:blipFill>
                  <pic:spPr bwMode="auto">
                    <a:xfrm>
                      <a:off x="0" y="0"/>
                      <a:ext cx="2743200" cy="1365332"/>
                    </a:xfrm>
                    <a:prstGeom prst="rect">
                      <a:avLst/>
                    </a:prstGeom>
                    <a:ln>
                      <a:noFill/>
                    </a:ln>
                    <a:extLst>
                      <a:ext uri="{53640926-AAD7-44D8-BBD7-CCE9431645EC}">
                        <a14:shadowObscured xmlns:a14="http://schemas.microsoft.com/office/drawing/2010/main"/>
                      </a:ext>
                    </a:extLst>
                  </pic:spPr>
                </pic:pic>
              </a:graphicData>
            </a:graphic>
          </wp:inline>
        </w:drawing>
      </w:r>
    </w:p>
    <w:p w14:paraId="24BB1AC0" w14:textId="488BCA42" w:rsidR="00B758BC" w:rsidRPr="000C25E7" w:rsidRDefault="00B758BC" w:rsidP="00C16F87">
      <w:pPr>
        <w:pStyle w:val="TF"/>
        <w:jc w:val="both"/>
      </w:pPr>
      <w:bookmarkStart w:id="88" w:name="_Ref53500897"/>
      <w:r w:rsidRPr="004F69A1">
        <w:rPr>
          <w:lang w:val="en-US"/>
        </w:rPr>
        <w:t xml:space="preserve">Figure </w:t>
      </w:r>
      <w:r w:rsidRPr="00CB4467">
        <w:rPr>
          <w:rFonts w:cs="Arial"/>
        </w:rPr>
        <w:fldChar w:fldCharType="begin"/>
      </w:r>
      <w:r w:rsidRPr="00CB4467">
        <w:rPr>
          <w:rFonts w:cs="Arial"/>
        </w:rPr>
        <w:instrText xml:space="preserve"> SEQ Figure \* ARABIC </w:instrText>
      </w:r>
      <w:r w:rsidRPr="00CB4467">
        <w:rPr>
          <w:rFonts w:cs="Arial"/>
        </w:rPr>
        <w:fldChar w:fldCharType="separate"/>
      </w:r>
      <w:r w:rsidR="00BE31F7">
        <w:rPr>
          <w:rFonts w:cs="Arial"/>
          <w:noProof/>
        </w:rPr>
        <w:t>13</w:t>
      </w:r>
      <w:r w:rsidRPr="00CB4467">
        <w:rPr>
          <w:rFonts w:cs="Arial"/>
        </w:rPr>
        <w:fldChar w:fldCharType="end"/>
      </w:r>
      <w:bookmarkEnd w:id="88"/>
      <w:r w:rsidRPr="00CB4467">
        <w:rPr>
          <w:rFonts w:cs="Arial"/>
        </w:rPr>
        <w:t xml:space="preserve">: </w:t>
      </w:r>
      <w:proofErr w:type="spellStart"/>
      <w:r w:rsidR="005B281C">
        <w:rPr>
          <w:rFonts w:cs="Arial"/>
        </w:rPr>
        <w:t>gNB</w:t>
      </w:r>
      <w:proofErr w:type="spellEnd"/>
      <w:r w:rsidR="005B281C">
        <w:rPr>
          <w:rFonts w:cs="Arial"/>
        </w:rPr>
        <w:t xml:space="preserve"> layout for </w:t>
      </w:r>
      <w:r>
        <w:rPr>
          <w:rFonts w:cs="Arial"/>
        </w:rPr>
        <w:t>Factory Scenario</w:t>
      </w:r>
      <w:r w:rsidR="005B281C">
        <w:rPr>
          <w:rFonts w:cs="Arial"/>
        </w:rPr>
        <w:t>-</w:t>
      </w:r>
      <w:r>
        <w:rPr>
          <w:rFonts w:cs="Arial"/>
        </w:rPr>
        <w:t>A (</w:t>
      </w:r>
      <w:proofErr w:type="spellStart"/>
      <w:r>
        <w:rPr>
          <w:rFonts w:cs="Arial"/>
        </w:rPr>
        <w:t>InF</w:t>
      </w:r>
      <w:proofErr w:type="spellEnd"/>
      <w:r>
        <w:rPr>
          <w:rFonts w:cs="Arial"/>
        </w:rPr>
        <w:t>-DL) defined in TR 38.808. The dimensions are given by L = 300m, W = 150m, and D = 50m. The ceiling height is 10m.</w:t>
      </w:r>
    </w:p>
    <w:p w14:paraId="749418F9" w14:textId="275237AB" w:rsidR="006E05A5" w:rsidRDefault="006E05A5" w:rsidP="006B0D57">
      <w:pPr>
        <w:pStyle w:val="BodyText"/>
      </w:pPr>
      <w:r>
        <w:t>It is worth to note that in TR 38.808 Factory Scenario-A (</w:t>
      </w:r>
      <w:proofErr w:type="spellStart"/>
      <w:r>
        <w:t>InF</w:t>
      </w:r>
      <w:proofErr w:type="spellEnd"/>
      <w:r>
        <w:t xml:space="preserve">-DL) assumes </w:t>
      </w:r>
      <w:r w:rsidR="00847073">
        <w:t xml:space="preserve">a </w:t>
      </w:r>
      <w:r>
        <w:t>BS antenna height of 1.5 meter</w:t>
      </w:r>
      <w:r w:rsidR="00847073">
        <w:t xml:space="preserve">s and that the BS is </w:t>
      </w:r>
      <w:r>
        <w:t xml:space="preserve">ceiling mounted. In our view this is not realistic considering the UE antenna height is also 1.5 meters. For this reason, we </w:t>
      </w:r>
      <w:r w:rsidR="00847073">
        <w:t>have chosen t</w:t>
      </w:r>
      <w:r w:rsidR="00497891">
        <w:t xml:space="preserve">o </w:t>
      </w:r>
      <w:r>
        <w:t>use</w:t>
      </w:r>
      <w:r w:rsidR="00847073">
        <w:t xml:space="preserve"> the</w:t>
      </w:r>
      <w:r>
        <w:t xml:space="preserve"> </w:t>
      </w:r>
      <w:proofErr w:type="spellStart"/>
      <w:r>
        <w:t>InF</w:t>
      </w:r>
      <w:proofErr w:type="spellEnd"/>
      <w:r>
        <w:t>-DH</w:t>
      </w:r>
      <w:r w:rsidR="00497891">
        <w:t xml:space="preserve"> </w:t>
      </w:r>
      <w:r w:rsidR="00847073">
        <w:t xml:space="preserve">scenario </w:t>
      </w:r>
      <w:r w:rsidR="00497891">
        <w:t>instead</w:t>
      </w:r>
      <w:r>
        <w:t xml:space="preserve"> for our system level </w:t>
      </w:r>
      <w:r w:rsidR="00847073">
        <w:t>evaluations</w:t>
      </w:r>
      <w:r>
        <w:t xml:space="preserve">, which is very similar to </w:t>
      </w:r>
      <w:proofErr w:type="spellStart"/>
      <w:r>
        <w:t>InF</w:t>
      </w:r>
      <w:proofErr w:type="spellEnd"/>
      <w:r>
        <w:t xml:space="preserve">-DL except </w:t>
      </w:r>
      <w:r w:rsidR="00847073">
        <w:t>that</w:t>
      </w:r>
      <w:r>
        <w:t xml:space="preserve"> the BS antenna height </w:t>
      </w:r>
      <w:r w:rsidR="00847073">
        <w:t>is</w:t>
      </w:r>
      <w:r>
        <w:t xml:space="preserve"> </w:t>
      </w:r>
      <w:r w:rsidR="00847073">
        <w:t>8</w:t>
      </w:r>
      <w:r>
        <w:t xml:space="preserve"> meters.</w:t>
      </w:r>
    </w:p>
    <w:p w14:paraId="0AFB0082" w14:textId="6ED52258" w:rsidR="006A2B39" w:rsidRDefault="006A2B39" w:rsidP="004F69A1">
      <w:pPr>
        <w:pStyle w:val="Proposal"/>
      </w:pPr>
      <w:bookmarkStart w:id="89" w:name="_Toc53776188"/>
      <w:r w:rsidRPr="006A2B39">
        <w:t>In TR 38.808, change the system level evaluation assumption for Factory Scenario A from Dense Clutter &amp; Low BS (</w:t>
      </w:r>
      <w:proofErr w:type="spellStart"/>
      <w:r w:rsidRPr="006A2B39">
        <w:t>InF</w:t>
      </w:r>
      <w:proofErr w:type="spellEnd"/>
      <w:r w:rsidRPr="006A2B39">
        <w:t>-DL) to Dense Clutter &amp; High BS (</w:t>
      </w:r>
      <w:proofErr w:type="spellStart"/>
      <w:r w:rsidRPr="006A2B39">
        <w:t>InF</w:t>
      </w:r>
      <w:proofErr w:type="spellEnd"/>
      <w:r w:rsidRPr="006A2B39">
        <w:t>-DH)</w:t>
      </w:r>
      <w:r w:rsidR="00847073">
        <w:t xml:space="preserve"> to be consistent with ceiling mounted </w:t>
      </w:r>
      <w:proofErr w:type="spellStart"/>
      <w:r w:rsidR="00847073">
        <w:t>gNBs</w:t>
      </w:r>
      <w:proofErr w:type="spellEnd"/>
      <w:r w:rsidR="00847073">
        <w:t>.</w:t>
      </w:r>
      <w:bookmarkEnd w:id="89"/>
    </w:p>
    <w:p w14:paraId="43E7E9BF" w14:textId="46E53E0D" w:rsidR="00847073" w:rsidRDefault="00847073" w:rsidP="00847073">
      <w:pPr>
        <w:pStyle w:val="BodyText"/>
      </w:pPr>
      <w:r>
        <w:t xml:space="preserve">Here we evaluate the </w:t>
      </w:r>
      <w:proofErr w:type="spellStart"/>
      <w:r>
        <w:t>InF</w:t>
      </w:r>
      <w:proofErr w:type="spellEnd"/>
      <w:r>
        <w:t xml:space="preserve">-DH deployment scenario through system level simulation to determine the distribution of post-beamforming delay spread. To explore further whether the delay spread will affect actual link performance, we capture statistics on the ratio of ISI-induced interference to noise (INR). In </w:t>
      </w:r>
      <w:r>
        <w:fldChar w:fldCharType="begin"/>
      </w:r>
      <w:r>
        <w:instrText xml:space="preserve"> REF _Ref53500132 \r \h </w:instrText>
      </w:r>
      <w:r>
        <w:fldChar w:fldCharType="separate"/>
      </w:r>
      <w:r w:rsidR="00BE31F7">
        <w:t>[11]</w:t>
      </w:r>
      <w:r>
        <w:fldChar w:fldCharType="end"/>
      </w:r>
      <w:r>
        <w:t xml:space="preserve">, this statistic is proposed as a relevant measure to determine what fraction of </w:t>
      </w:r>
      <w:proofErr w:type="spellStart"/>
      <w:r>
        <w:t>gNB</w:t>
      </w:r>
      <w:proofErr w:type="spellEnd"/>
      <w:r>
        <w:t>-UE links will experience conditions in which the interference due to ISI dominates noise, and thus limit achievable link data rates.</w:t>
      </w:r>
    </w:p>
    <w:p w14:paraId="3052A5F9" w14:textId="33336D9D" w:rsidR="006B0D57" w:rsidRDefault="006B0D57" w:rsidP="006B0D57">
      <w:pPr>
        <w:pStyle w:val="BodyText"/>
      </w:pPr>
      <w:r>
        <w:fldChar w:fldCharType="begin"/>
      </w:r>
      <w:r>
        <w:instrText xml:space="preserve"> REF _Ref47371861 \h </w:instrText>
      </w:r>
      <w:r>
        <w:fldChar w:fldCharType="separate"/>
      </w:r>
      <w:r w:rsidR="00BE31F7" w:rsidRPr="004F69A1">
        <w:t xml:space="preserve">Figure </w:t>
      </w:r>
      <w:r w:rsidR="00BE31F7">
        <w:rPr>
          <w:noProof/>
        </w:rPr>
        <w:t>14</w:t>
      </w:r>
      <w:r>
        <w:fldChar w:fldCharType="end"/>
      </w:r>
      <w:r>
        <w:t xml:space="preserve"> shows the CDF of RMS delay spread obtained from system simulation for</w:t>
      </w:r>
      <w:r w:rsidR="005B281C">
        <w:t xml:space="preserve"> </w:t>
      </w:r>
      <w:proofErr w:type="spellStart"/>
      <w:r w:rsidR="00944DF3">
        <w:t>InF</w:t>
      </w:r>
      <w:proofErr w:type="spellEnd"/>
      <w:r w:rsidR="00944DF3">
        <w:t>-DH</w:t>
      </w:r>
      <w:r w:rsidR="005B281C">
        <w:t>. As can be seen the 90</w:t>
      </w:r>
      <w:r w:rsidR="005B281C" w:rsidRPr="003C2819">
        <w:rPr>
          <w:vertAlign w:val="superscript"/>
        </w:rPr>
        <w:t>th</w:t>
      </w:r>
      <w:r w:rsidR="005B281C">
        <w:t xml:space="preserve"> percentile RMS delay spread </w:t>
      </w:r>
      <w:r w:rsidR="00225BAE">
        <w:t>(</w:t>
      </w:r>
      <w:r w:rsidR="00BD2101">
        <w:t>45</w:t>
      </w:r>
      <w:r w:rsidR="00225BAE">
        <w:t>.</w:t>
      </w:r>
      <w:r w:rsidR="00BD2101">
        <w:t>2</w:t>
      </w:r>
      <w:r w:rsidR="00225BAE">
        <w:t xml:space="preserve"> ns) </w:t>
      </w:r>
      <w:r w:rsidR="005B281C">
        <w:t>is a significant fraction of the CP duration for 960 kHz SCS (73.2 ns).</w:t>
      </w:r>
      <w:r w:rsidR="00225BAE">
        <w:t xml:space="preserve"> It is noted that this graph shows RMS values; instantaneous values will thus often exceed the CP duration.</w:t>
      </w:r>
    </w:p>
    <w:p w14:paraId="3FAB7CF2" w14:textId="43E2FCA3" w:rsidR="00B5774F" w:rsidRDefault="00B021DC" w:rsidP="003C2819">
      <w:pPr>
        <w:pStyle w:val="Proposal"/>
      </w:pPr>
      <w:bookmarkStart w:id="90" w:name="_Toc53776189"/>
      <w:r>
        <w:t xml:space="preserve">Capture the following observation in TR 38.808. </w:t>
      </w:r>
      <w:r w:rsidR="0065661C">
        <w:t xml:space="preserve">Factory Scenario A </w:t>
      </w:r>
      <w:r w:rsidR="00733364">
        <w:t>(</w:t>
      </w:r>
      <w:proofErr w:type="spellStart"/>
      <w:r w:rsidR="00733364">
        <w:t>InF</w:t>
      </w:r>
      <w:proofErr w:type="spellEnd"/>
      <w:r w:rsidR="00733364">
        <w:t>-DH)</w:t>
      </w:r>
      <w:r w:rsidR="0065661C">
        <w:t xml:space="preserve"> results in post-beamforming delay spreads that are a significant fraction of the CP duration for 960 kHz SCS.</w:t>
      </w:r>
      <w:bookmarkEnd w:id="90"/>
    </w:p>
    <w:p w14:paraId="2BF044F3" w14:textId="77777777" w:rsidR="0065661C" w:rsidRDefault="0065661C" w:rsidP="006B0D57">
      <w:pPr>
        <w:pStyle w:val="BodyText"/>
      </w:pPr>
    </w:p>
    <w:p w14:paraId="6DB60950" w14:textId="003BD0A6" w:rsidR="006B0D57" w:rsidRDefault="00BD2101" w:rsidP="006B0D57">
      <w:pPr>
        <w:pStyle w:val="BodyText"/>
        <w:keepNext/>
        <w:jc w:val="center"/>
      </w:pPr>
      <w:r w:rsidRPr="00BD2101">
        <w:rPr>
          <w:noProof/>
        </w:rPr>
        <w:lastRenderedPageBreak/>
        <w:drawing>
          <wp:inline distT="0" distB="0" distL="0" distR="0" wp14:anchorId="07393437" wp14:editId="165FA00C">
            <wp:extent cx="4059936" cy="3044952"/>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059936" cy="3044952"/>
                    </a:xfrm>
                    <a:prstGeom prst="rect">
                      <a:avLst/>
                    </a:prstGeom>
                    <a:noFill/>
                    <a:ln>
                      <a:noFill/>
                    </a:ln>
                  </pic:spPr>
                </pic:pic>
              </a:graphicData>
            </a:graphic>
          </wp:inline>
        </w:drawing>
      </w:r>
    </w:p>
    <w:p w14:paraId="7B902351" w14:textId="4B64AB08" w:rsidR="006B0D57" w:rsidRPr="000C25E7" w:rsidRDefault="006B0D57" w:rsidP="00E2446B">
      <w:pPr>
        <w:pStyle w:val="TF"/>
        <w:jc w:val="both"/>
      </w:pPr>
      <w:bookmarkStart w:id="91" w:name="_Ref47371861"/>
      <w:r w:rsidRPr="004F69A1">
        <w:rPr>
          <w:lang w:val="en-US"/>
        </w:rPr>
        <w:t xml:space="preserve">Figure </w:t>
      </w:r>
      <w:r w:rsidRPr="00CB4467">
        <w:rPr>
          <w:rFonts w:cs="Arial"/>
        </w:rPr>
        <w:fldChar w:fldCharType="begin"/>
      </w:r>
      <w:r>
        <w:instrText xml:space="preserve"> SEQ Figure \* ARABIC </w:instrText>
      </w:r>
      <w:r w:rsidRPr="00CB4467">
        <w:rPr>
          <w:rFonts w:cs="Arial"/>
        </w:rPr>
        <w:fldChar w:fldCharType="separate"/>
      </w:r>
      <w:r w:rsidR="00BE31F7">
        <w:rPr>
          <w:noProof/>
        </w:rPr>
        <w:t>14</w:t>
      </w:r>
      <w:r w:rsidRPr="00CB4467">
        <w:rPr>
          <w:rFonts w:cs="Arial"/>
        </w:rPr>
        <w:fldChar w:fldCharType="end"/>
      </w:r>
      <w:bookmarkEnd w:id="91"/>
      <w:r w:rsidRPr="00CB4467">
        <w:rPr>
          <w:rFonts w:cs="Arial"/>
        </w:rPr>
        <w:t xml:space="preserve">: CDF of </w:t>
      </w:r>
      <w:r w:rsidR="005B281C">
        <w:rPr>
          <w:rFonts w:cs="Arial"/>
        </w:rPr>
        <w:t xml:space="preserve">pre- and </w:t>
      </w:r>
      <w:r w:rsidRPr="00CB4467">
        <w:rPr>
          <w:rFonts w:cs="Arial"/>
        </w:rPr>
        <w:t xml:space="preserve">post-beamforming RMS delay spread based on system level evaluation </w:t>
      </w:r>
      <w:r w:rsidR="005B281C">
        <w:rPr>
          <w:rFonts w:cs="Arial"/>
        </w:rPr>
        <w:t xml:space="preserve">for Factory Scenario-A </w:t>
      </w:r>
      <w:r w:rsidR="00274AF9">
        <w:rPr>
          <w:rFonts w:cs="Arial"/>
          <w:lang w:val="en-US"/>
        </w:rPr>
        <w:t>(</w:t>
      </w:r>
      <w:proofErr w:type="spellStart"/>
      <w:r w:rsidR="00274AF9">
        <w:rPr>
          <w:rFonts w:cs="Arial"/>
          <w:lang w:val="en-US"/>
        </w:rPr>
        <w:t>InF</w:t>
      </w:r>
      <w:proofErr w:type="spellEnd"/>
      <w:r w:rsidR="00274AF9">
        <w:rPr>
          <w:rFonts w:cs="Arial"/>
          <w:lang w:val="en-US"/>
        </w:rPr>
        <w:t xml:space="preserve">-DH) </w:t>
      </w:r>
      <w:r w:rsidR="005B281C">
        <w:rPr>
          <w:rFonts w:cs="Arial"/>
        </w:rPr>
        <w:t>defined in TR 38.808</w:t>
      </w:r>
      <w:r w:rsidRPr="00CB4467">
        <w:rPr>
          <w:rFonts w:cs="Arial"/>
        </w:rPr>
        <w:t xml:space="preserve">. </w:t>
      </w:r>
      <w:r w:rsidR="005B281C">
        <w:rPr>
          <w:rFonts w:cs="Arial"/>
        </w:rPr>
        <w:t xml:space="preserve">The </w:t>
      </w:r>
      <w:proofErr w:type="spellStart"/>
      <w:r w:rsidR="005B281C">
        <w:rPr>
          <w:rFonts w:cs="Arial"/>
        </w:rPr>
        <w:t>gNB</w:t>
      </w:r>
      <w:proofErr w:type="spellEnd"/>
      <w:r w:rsidR="005B281C">
        <w:rPr>
          <w:rFonts w:cs="Arial"/>
        </w:rPr>
        <w:t xml:space="preserve"> is deployed with </w:t>
      </w:r>
      <w:r w:rsidR="005369D5">
        <w:rPr>
          <w:rFonts w:cs="Arial"/>
        </w:rPr>
        <w:t>single</w:t>
      </w:r>
      <w:r w:rsidR="005B281C">
        <w:rPr>
          <w:rFonts w:cs="Arial"/>
        </w:rPr>
        <w:t xml:space="preserve">-antenna panel with array size </w:t>
      </w:r>
      <w:r w:rsidRPr="00CB4467">
        <w:rPr>
          <w:rFonts w:cs="Arial"/>
        </w:rPr>
        <w:t>4x8</w:t>
      </w:r>
      <w:r w:rsidR="005369D5">
        <w:rPr>
          <w:rFonts w:cs="Arial"/>
        </w:rPr>
        <w:t xml:space="preserve"> (ceiling-mounted)</w:t>
      </w:r>
      <w:r w:rsidR="005B281C">
        <w:rPr>
          <w:rFonts w:cs="Arial"/>
        </w:rPr>
        <w:t xml:space="preserve">. The UE antenna array size is </w:t>
      </w:r>
      <w:r w:rsidRPr="00CB4467">
        <w:rPr>
          <w:rFonts w:cs="Arial"/>
        </w:rPr>
        <w:t xml:space="preserve">2x2. </w:t>
      </w:r>
    </w:p>
    <w:p w14:paraId="1AE43A8A" w14:textId="35B9FE7F" w:rsidR="0065661C" w:rsidRDefault="0065661C" w:rsidP="006B0D57">
      <w:pPr>
        <w:pStyle w:val="BodyText"/>
      </w:pPr>
      <w:r>
        <w:t>To</w:t>
      </w:r>
      <w:bookmarkStart w:id="92" w:name="_Toc47697546"/>
      <w:bookmarkStart w:id="93" w:name="_Toc47697963"/>
      <w:bookmarkStart w:id="94" w:name="_Toc47709980"/>
      <w:bookmarkStart w:id="95" w:name="_Toc47710006"/>
      <w:bookmarkEnd w:id="92"/>
      <w:bookmarkEnd w:id="93"/>
      <w:bookmarkEnd w:id="94"/>
      <w:bookmarkEnd w:id="95"/>
      <w:r>
        <w:t xml:space="preserve"> further investigate the impact of such a delay spread distribution, we capture the distribution of the</w:t>
      </w:r>
      <w:r w:rsidR="0058144E">
        <w:t xml:space="preserve"> interference-to-noise ratio (</w:t>
      </w:r>
      <w:r>
        <w:t>INR</w:t>
      </w:r>
      <w:r w:rsidR="0058144E">
        <w:t>)</w:t>
      </w:r>
      <w:r>
        <w:t xml:space="preserve">, where the interference is due to ISI. </w:t>
      </w:r>
      <w:r w:rsidR="0058144E">
        <w:t xml:space="preserve">The level of interference is a function of the CP duration (see discussion in Section 3.1.2), and the noise level is a function of the carrier bandwidth. </w:t>
      </w:r>
      <w:r>
        <w:t>As mentioned above,</w:t>
      </w:r>
      <w:r w:rsidR="0058144E">
        <w:t xml:space="preserve"> INR</w:t>
      </w:r>
      <w:r>
        <w:t xml:space="preserve"> is a useful predictor of what fraction of </w:t>
      </w:r>
      <w:proofErr w:type="spellStart"/>
      <w:r w:rsidR="008717BF">
        <w:t>gNB</w:t>
      </w:r>
      <w:proofErr w:type="spellEnd"/>
      <w:r w:rsidR="008717BF">
        <w:t>-UE links</w:t>
      </w:r>
      <w:r>
        <w:t xml:space="preserve"> will experience conditions in which the interference due to ISI dominates noise, and thus limit link performance. The INR distribution is shown in</w:t>
      </w:r>
      <w:r w:rsidR="0058144E">
        <w:t xml:space="preserve"> </w:t>
      </w:r>
      <w:r w:rsidR="008717BF">
        <w:fldChar w:fldCharType="begin"/>
      </w:r>
      <w:r w:rsidR="008717BF">
        <w:instrText xml:space="preserve"> REF _Ref53142132 \h </w:instrText>
      </w:r>
      <w:r w:rsidR="008717BF">
        <w:fldChar w:fldCharType="separate"/>
      </w:r>
      <w:r w:rsidR="00BE31F7" w:rsidRPr="00AA6731">
        <w:rPr>
          <w:rFonts w:cs="Arial"/>
        </w:rPr>
        <w:t xml:space="preserve">Figure </w:t>
      </w:r>
      <w:r w:rsidR="00BE31F7">
        <w:rPr>
          <w:rFonts w:asciiTheme="minorBidi" w:hAnsiTheme="minorBidi" w:cstheme="minorBidi"/>
          <w:noProof/>
        </w:rPr>
        <w:t>16</w:t>
      </w:r>
      <w:r w:rsidR="008717BF">
        <w:fldChar w:fldCharType="end"/>
      </w:r>
      <w:r w:rsidR="0058144E">
        <w:t xml:space="preserve"> for several sub-carrier spacing values from 120 to 960 kHz</w:t>
      </w:r>
      <w:r w:rsidR="000D318F">
        <w:t xml:space="preserve"> and </w:t>
      </w:r>
      <w:r w:rsidR="0058144E">
        <w:t xml:space="preserve">two different carrier bandwidth values, 400 and 2000 </w:t>
      </w:r>
      <w:proofErr w:type="spellStart"/>
      <w:r w:rsidR="0058144E">
        <w:t>MHz.</w:t>
      </w:r>
      <w:proofErr w:type="spellEnd"/>
      <w:r w:rsidR="0058144E">
        <w:t xml:space="preserve"> In addition, we consider two different EIRP limits for DL transmission, 40 dBm and 55 dBm. The latter can be relevant for licensed deployments.</w:t>
      </w:r>
      <w:r w:rsidR="008717BF">
        <w:t xml:space="preserve"> For reference, results are shown for Outdoor Scenario A </w:t>
      </w:r>
      <w:r w:rsidR="000D318F">
        <w:t>(</w:t>
      </w:r>
      <w:proofErr w:type="spellStart"/>
      <w:r w:rsidR="000D318F">
        <w:t>UMi</w:t>
      </w:r>
      <w:proofErr w:type="spellEnd"/>
      <w:r w:rsidR="000D318F">
        <w:t xml:space="preserve">) </w:t>
      </w:r>
      <w:r w:rsidR="008717BF">
        <w:t xml:space="preserve">defined in TR 38.808 </w:t>
      </w:r>
      <w:r w:rsidR="008717BF">
        <w:fldChar w:fldCharType="begin"/>
      </w:r>
      <w:r w:rsidR="008717BF">
        <w:instrText xml:space="preserve"> REF _Ref53500598 \r \h </w:instrText>
      </w:r>
      <w:r w:rsidR="008717BF">
        <w:fldChar w:fldCharType="separate"/>
      </w:r>
      <w:r w:rsidR="00BE31F7">
        <w:t>[8]</w:t>
      </w:r>
      <w:r w:rsidR="008717BF">
        <w:fldChar w:fldCharType="end"/>
      </w:r>
      <w:r w:rsidR="008717BF">
        <w:t>.</w:t>
      </w:r>
    </w:p>
    <w:p w14:paraId="59479D25" w14:textId="28607E14" w:rsidR="0058144E" w:rsidRDefault="0058144E" w:rsidP="003C2819">
      <w:pPr>
        <w:pStyle w:val="BodyText"/>
        <w:tabs>
          <w:tab w:val="center" w:pos="2340"/>
          <w:tab w:val="center" w:pos="7200"/>
        </w:tabs>
        <w:spacing w:after="0"/>
      </w:pPr>
      <w:r>
        <w:tab/>
      </w:r>
      <w:r w:rsidR="0065397A" w:rsidRPr="0065397A">
        <w:rPr>
          <w:noProof/>
        </w:rPr>
        <w:drawing>
          <wp:inline distT="0" distB="0" distL="0" distR="0" wp14:anchorId="7F4E3221" wp14:editId="55584AF6">
            <wp:extent cx="2971800" cy="2231136"/>
            <wp:effectExtent l="0" t="0" r="0" b="0"/>
            <wp:docPr id="55" name="Picture 8">
              <a:extLst xmlns:a="http://schemas.openxmlformats.org/drawingml/2006/main">
                <a:ext uri="{FF2B5EF4-FFF2-40B4-BE49-F238E27FC236}">
                  <a16:creationId xmlns:a16="http://schemas.microsoft.com/office/drawing/2014/main" id="{A14F6352-73A9-4C27-9A89-EB66B0267B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A14F6352-73A9-4C27-9A89-EB66B0267BAC}"/>
                        </a:ext>
                      </a:extLst>
                    </pic:cNvPr>
                    <pic:cNvPicPr>
                      <a:picLocks noChangeAspect="1"/>
                    </pic:cNvPicPr>
                  </pic:nvPicPr>
                  <pic:blipFill>
                    <a:blip r:embed="rId26"/>
                    <a:stretch>
                      <a:fillRect/>
                    </a:stretch>
                  </pic:blipFill>
                  <pic:spPr>
                    <a:xfrm>
                      <a:off x="0" y="0"/>
                      <a:ext cx="2971800" cy="2231136"/>
                    </a:xfrm>
                    <a:prstGeom prst="rect">
                      <a:avLst/>
                    </a:prstGeom>
                  </pic:spPr>
                </pic:pic>
              </a:graphicData>
            </a:graphic>
          </wp:inline>
        </w:drawing>
      </w:r>
      <w:r>
        <w:tab/>
      </w:r>
      <w:r w:rsidR="0065397A" w:rsidRPr="0065397A">
        <w:rPr>
          <w:noProof/>
        </w:rPr>
        <w:drawing>
          <wp:inline distT="0" distB="0" distL="0" distR="0" wp14:anchorId="68387B6D" wp14:editId="05E323AA">
            <wp:extent cx="2971800" cy="2231136"/>
            <wp:effectExtent l="0" t="0" r="0" b="0"/>
            <wp:docPr id="62" name="Picture 10">
              <a:extLst xmlns:a="http://schemas.openxmlformats.org/drawingml/2006/main">
                <a:ext uri="{FF2B5EF4-FFF2-40B4-BE49-F238E27FC236}">
                  <a16:creationId xmlns:a16="http://schemas.microsoft.com/office/drawing/2014/main" id="{C22966FF-6EE6-4B69-A6E3-9E52D374CF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C22966FF-6EE6-4B69-A6E3-9E52D374CF31}"/>
                        </a:ext>
                      </a:extLst>
                    </pic:cNvPr>
                    <pic:cNvPicPr>
                      <a:picLocks noChangeAspect="1"/>
                    </pic:cNvPicPr>
                  </pic:nvPicPr>
                  <pic:blipFill>
                    <a:blip r:embed="rId27"/>
                    <a:stretch>
                      <a:fillRect/>
                    </a:stretch>
                  </pic:blipFill>
                  <pic:spPr>
                    <a:xfrm>
                      <a:off x="0" y="0"/>
                      <a:ext cx="2971800" cy="2231136"/>
                    </a:xfrm>
                    <a:prstGeom prst="rect">
                      <a:avLst/>
                    </a:prstGeom>
                  </pic:spPr>
                </pic:pic>
              </a:graphicData>
            </a:graphic>
          </wp:inline>
        </w:drawing>
      </w:r>
    </w:p>
    <w:p w14:paraId="35649029" w14:textId="63EFFC6C" w:rsidR="0058144E" w:rsidRDefault="0058144E" w:rsidP="003C2819">
      <w:pPr>
        <w:pStyle w:val="BodyText"/>
        <w:tabs>
          <w:tab w:val="center" w:pos="2880"/>
          <w:tab w:val="center" w:pos="7200"/>
        </w:tabs>
      </w:pPr>
      <w:r w:rsidRPr="0058144E">
        <w:tab/>
        <w:t>(</w:t>
      </w:r>
      <w:r>
        <w:t>a)</w:t>
      </w:r>
      <w:r>
        <w:tab/>
        <w:t>(b)</w:t>
      </w:r>
    </w:p>
    <w:p w14:paraId="26BCAFDE" w14:textId="3A8C42A8" w:rsidR="0058144E" w:rsidRDefault="0058144E" w:rsidP="003C2819">
      <w:pPr>
        <w:pStyle w:val="BodyText"/>
        <w:tabs>
          <w:tab w:val="center" w:pos="2340"/>
          <w:tab w:val="center" w:pos="7200"/>
        </w:tabs>
        <w:spacing w:after="0"/>
      </w:pPr>
      <w:r>
        <w:lastRenderedPageBreak/>
        <w:tab/>
      </w:r>
      <w:r w:rsidR="0065397A" w:rsidRPr="0065397A">
        <w:rPr>
          <w:noProof/>
        </w:rPr>
        <w:drawing>
          <wp:inline distT="0" distB="0" distL="0" distR="0" wp14:anchorId="036A1DB9" wp14:editId="628F6654">
            <wp:extent cx="2971800" cy="2231136"/>
            <wp:effectExtent l="0" t="0" r="0" b="0"/>
            <wp:docPr id="63" name="Picture 11">
              <a:extLst xmlns:a="http://schemas.openxmlformats.org/drawingml/2006/main">
                <a:ext uri="{FF2B5EF4-FFF2-40B4-BE49-F238E27FC236}">
                  <a16:creationId xmlns:a16="http://schemas.microsoft.com/office/drawing/2014/main" id="{9E526146-ED2E-47D0-BAE3-2FCB102AFE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9E526146-ED2E-47D0-BAE3-2FCB102AFEF5}"/>
                        </a:ext>
                      </a:extLst>
                    </pic:cNvPr>
                    <pic:cNvPicPr>
                      <a:picLocks noChangeAspect="1"/>
                    </pic:cNvPicPr>
                  </pic:nvPicPr>
                  <pic:blipFill>
                    <a:blip r:embed="rId28"/>
                    <a:stretch>
                      <a:fillRect/>
                    </a:stretch>
                  </pic:blipFill>
                  <pic:spPr>
                    <a:xfrm>
                      <a:off x="0" y="0"/>
                      <a:ext cx="2971800" cy="2231136"/>
                    </a:xfrm>
                    <a:prstGeom prst="rect">
                      <a:avLst/>
                    </a:prstGeom>
                  </pic:spPr>
                </pic:pic>
              </a:graphicData>
            </a:graphic>
          </wp:inline>
        </w:drawing>
      </w:r>
      <w:r>
        <w:tab/>
      </w:r>
      <w:r w:rsidR="0065397A" w:rsidRPr="0065397A">
        <w:rPr>
          <w:noProof/>
        </w:rPr>
        <w:drawing>
          <wp:inline distT="0" distB="0" distL="0" distR="0" wp14:anchorId="7C16BDCA" wp14:editId="2670831A">
            <wp:extent cx="2971800" cy="2231136"/>
            <wp:effectExtent l="0" t="0" r="0" b="0"/>
            <wp:docPr id="1614471040" name="Picture 9">
              <a:extLst xmlns:a="http://schemas.openxmlformats.org/drawingml/2006/main">
                <a:ext uri="{FF2B5EF4-FFF2-40B4-BE49-F238E27FC236}">
                  <a16:creationId xmlns:a16="http://schemas.microsoft.com/office/drawing/2014/main" id="{234487DC-ACB0-40AC-94D3-E8438E91605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234487DC-ACB0-40AC-94D3-E8438E916051}"/>
                        </a:ext>
                      </a:extLst>
                    </pic:cNvPr>
                    <pic:cNvPicPr>
                      <a:picLocks noChangeAspect="1"/>
                    </pic:cNvPicPr>
                  </pic:nvPicPr>
                  <pic:blipFill>
                    <a:blip r:embed="rId29"/>
                    <a:stretch>
                      <a:fillRect/>
                    </a:stretch>
                  </pic:blipFill>
                  <pic:spPr>
                    <a:xfrm>
                      <a:off x="0" y="0"/>
                      <a:ext cx="2971800" cy="2231136"/>
                    </a:xfrm>
                    <a:prstGeom prst="rect">
                      <a:avLst/>
                    </a:prstGeom>
                  </pic:spPr>
                </pic:pic>
              </a:graphicData>
            </a:graphic>
          </wp:inline>
        </w:drawing>
      </w:r>
    </w:p>
    <w:p w14:paraId="7186C7BB" w14:textId="4B7E3146" w:rsidR="0058144E" w:rsidRDefault="0058144E" w:rsidP="0058144E">
      <w:pPr>
        <w:pStyle w:val="BodyText"/>
        <w:tabs>
          <w:tab w:val="center" w:pos="2880"/>
          <w:tab w:val="center" w:pos="7200"/>
        </w:tabs>
      </w:pPr>
      <w:r w:rsidRPr="0058144E">
        <w:tab/>
        <w:t>(</w:t>
      </w:r>
      <w:r>
        <w:t>c)</w:t>
      </w:r>
      <w:r>
        <w:tab/>
        <w:t>(d)</w:t>
      </w:r>
    </w:p>
    <w:p w14:paraId="4335168F" w14:textId="7F82A131" w:rsidR="0058144E" w:rsidRPr="000C25E7" w:rsidRDefault="0058144E" w:rsidP="00E2446B">
      <w:pPr>
        <w:pStyle w:val="TF"/>
        <w:jc w:val="both"/>
      </w:pPr>
      <w:r w:rsidRPr="004F69A1">
        <w:rPr>
          <w:lang w:val="en-US"/>
        </w:rPr>
        <w:t xml:space="preserve">Figure </w:t>
      </w:r>
      <w:r w:rsidRPr="004F69A1">
        <w:rPr>
          <w:lang w:val="en-US"/>
        </w:rPr>
        <w:fldChar w:fldCharType="begin"/>
      </w:r>
      <w:r>
        <w:instrText xml:space="preserve"> SEQ Figure \* ARABIC </w:instrText>
      </w:r>
      <w:r w:rsidRPr="004F69A1">
        <w:rPr>
          <w:lang w:val="en-US"/>
        </w:rPr>
        <w:fldChar w:fldCharType="separate"/>
      </w:r>
      <w:r w:rsidR="00BE31F7">
        <w:rPr>
          <w:noProof/>
        </w:rPr>
        <w:t>15</w:t>
      </w:r>
      <w:r w:rsidRPr="004F69A1">
        <w:rPr>
          <w:lang w:val="en-US"/>
        </w:rPr>
        <w:fldChar w:fldCharType="end"/>
      </w:r>
      <w:r w:rsidRPr="004F69A1">
        <w:rPr>
          <w:lang w:val="en-US"/>
        </w:rPr>
        <w:t>: Distribution of interference-to-noise ratio (INR) where the interference is due to ISI for (a) 400 MHz CBW and 40 dBm EIRP; (b) 400 MHz CBW and 55 dBm EIRP; (c) 2000 MHz CBW and 40 dBm EIRP; and (d) 2000 MHz CBW and 55 dBm EIRP.</w:t>
      </w:r>
    </w:p>
    <w:p w14:paraId="6EA1C888" w14:textId="3CC0156D" w:rsidR="008717BF" w:rsidRDefault="008717BF" w:rsidP="006B0D57">
      <w:pPr>
        <w:pStyle w:val="BodyText"/>
      </w:pPr>
      <w:r>
        <w:t xml:space="preserve">In the above graphs, a vertical line is drawn at INR = -3 dB which allows one to determine the percentage of </w:t>
      </w:r>
      <w:proofErr w:type="spellStart"/>
      <w:r>
        <w:t>gNB</w:t>
      </w:r>
      <w:proofErr w:type="spellEnd"/>
      <w:r>
        <w:t xml:space="preserve">-UE links for which INR &gt; -3 </w:t>
      </w:r>
      <w:proofErr w:type="spellStart"/>
      <w:r>
        <w:t>dB</w:t>
      </w:r>
      <w:r w:rsidR="000D318F">
        <w:t>.</w:t>
      </w:r>
      <w:proofErr w:type="spellEnd"/>
      <w:r w:rsidR="000D318F">
        <w:t xml:space="preserve"> This </w:t>
      </w:r>
      <w:r>
        <w:t>provides a measure of when interference due to ISI starts to become comparable to the noise level</w:t>
      </w:r>
      <w:r w:rsidR="000D318F">
        <w:t xml:space="preserve">. We note that </w:t>
      </w:r>
      <w:r>
        <w:t xml:space="preserve">the same threshold is used in </w:t>
      </w:r>
      <w:r>
        <w:fldChar w:fldCharType="begin"/>
      </w:r>
      <w:r>
        <w:instrText xml:space="preserve"> REF _Ref53500132 \r \h </w:instrText>
      </w:r>
      <w:r>
        <w:fldChar w:fldCharType="separate"/>
      </w:r>
      <w:r w:rsidR="00BE31F7">
        <w:t>[11]</w:t>
      </w:r>
      <w:r>
        <w:fldChar w:fldCharType="end"/>
      </w:r>
      <w:r>
        <w:t>. The</w:t>
      </w:r>
      <w:r w:rsidR="00FF68B1">
        <w:t xml:space="preserve"> percentages determined from these graphs are tabulated in</w:t>
      </w:r>
      <w:r>
        <w:t xml:space="preserve"> </w:t>
      </w:r>
      <w:r>
        <w:fldChar w:fldCharType="begin"/>
      </w:r>
      <w:r>
        <w:instrText xml:space="preserve"> REF _Ref53503904 \h </w:instrText>
      </w:r>
      <w:r>
        <w:fldChar w:fldCharType="separate"/>
      </w:r>
      <w:r w:rsidR="00BE31F7">
        <w:t xml:space="preserve">Table </w:t>
      </w:r>
      <w:r w:rsidR="00BE31F7">
        <w:rPr>
          <w:noProof/>
        </w:rPr>
        <w:t>3</w:t>
      </w:r>
      <w:r>
        <w:fldChar w:fldCharType="end"/>
      </w:r>
      <w:r>
        <w:t xml:space="preserve"> below</w:t>
      </w:r>
      <w:r w:rsidR="00FF68B1">
        <w:t xml:space="preserve"> for the case of 960 kHz SCS. </w:t>
      </w:r>
    </w:p>
    <w:p w14:paraId="6B1D5955" w14:textId="65300B36" w:rsidR="008717BF" w:rsidRDefault="008717BF" w:rsidP="003C2819">
      <w:pPr>
        <w:pStyle w:val="Caption"/>
        <w:jc w:val="center"/>
      </w:pPr>
      <w:bookmarkStart w:id="96" w:name="_Ref53503904"/>
      <w:bookmarkStart w:id="97" w:name="_Ref53503899"/>
      <w:r>
        <w:t xml:space="preserve">Table </w:t>
      </w:r>
      <w:fldSimple w:instr=" SEQ Table \* ARABIC ">
        <w:r w:rsidR="00BE31F7">
          <w:rPr>
            <w:noProof/>
          </w:rPr>
          <w:t>3</w:t>
        </w:r>
      </w:fldSimple>
      <w:bookmarkEnd w:id="96"/>
      <w:r>
        <w:t xml:space="preserve">: Percentage of </w:t>
      </w:r>
      <w:proofErr w:type="spellStart"/>
      <w:r>
        <w:t>gNB</w:t>
      </w:r>
      <w:proofErr w:type="spellEnd"/>
      <w:r>
        <w:t>-UE links experience INR &gt; -3 dB</w:t>
      </w:r>
      <w:bookmarkEnd w:id="97"/>
      <w:r w:rsidR="00FF68B1">
        <w:t xml:space="preserve"> for 960 kHz SCS.</w:t>
      </w:r>
    </w:p>
    <w:tbl>
      <w:tblPr>
        <w:tblW w:w="6560" w:type="dxa"/>
        <w:jc w:val="center"/>
        <w:tblCellMar>
          <w:left w:w="0" w:type="dxa"/>
          <w:right w:w="0" w:type="dxa"/>
        </w:tblCellMar>
        <w:tblLook w:val="0420" w:firstRow="1" w:lastRow="0" w:firstColumn="0" w:lastColumn="0" w:noHBand="0" w:noVBand="1"/>
      </w:tblPr>
      <w:tblGrid>
        <w:gridCol w:w="1917"/>
        <w:gridCol w:w="1223"/>
        <w:gridCol w:w="1157"/>
        <w:gridCol w:w="1003"/>
        <w:gridCol w:w="1260"/>
      </w:tblGrid>
      <w:tr w:rsidR="008717BF" w:rsidRPr="008717BF" w14:paraId="18FB83DF" w14:textId="77777777" w:rsidTr="003C2819">
        <w:trPr>
          <w:trHeight w:val="223"/>
          <w:jc w:val="center"/>
        </w:trPr>
        <w:tc>
          <w:tcPr>
            <w:tcW w:w="1917" w:type="dxa"/>
            <w:tcBorders>
              <w:top w:val="single" w:sz="8" w:space="0" w:color="FFFFFF"/>
              <w:left w:val="single" w:sz="8" w:space="0" w:color="FFFFFF"/>
              <w:bottom w:val="single" w:sz="24" w:space="0" w:color="FFFFFF"/>
              <w:right w:val="single" w:sz="8" w:space="0" w:color="FFFFFF"/>
            </w:tcBorders>
            <w:shd w:val="clear" w:color="auto" w:fill="0082F0"/>
            <w:tcMar>
              <w:top w:w="72" w:type="dxa"/>
              <w:left w:w="144" w:type="dxa"/>
              <w:bottom w:w="72" w:type="dxa"/>
              <w:right w:w="144" w:type="dxa"/>
            </w:tcMar>
            <w:hideMark/>
          </w:tcPr>
          <w:p w14:paraId="6CA83C04" w14:textId="77777777" w:rsidR="008717BF" w:rsidRPr="003C2819" w:rsidRDefault="008717BF">
            <w:pPr>
              <w:overflowPunct/>
              <w:autoSpaceDE/>
              <w:autoSpaceDN/>
              <w:adjustRightInd/>
              <w:spacing w:after="0"/>
              <w:textAlignment w:val="auto"/>
              <w:rPr>
                <w:rFonts w:ascii="Arial" w:hAnsi="Arial" w:cs="Arial"/>
                <w:lang w:eastAsia="en-US"/>
              </w:rPr>
            </w:pPr>
          </w:p>
        </w:tc>
        <w:tc>
          <w:tcPr>
            <w:tcW w:w="2380" w:type="dxa"/>
            <w:gridSpan w:val="2"/>
            <w:tcBorders>
              <w:top w:val="single" w:sz="8" w:space="0" w:color="FFFFFF"/>
              <w:left w:val="single" w:sz="8" w:space="0" w:color="FFFFFF"/>
              <w:bottom w:val="single" w:sz="24" w:space="0" w:color="FFFFFF"/>
              <w:right w:val="single" w:sz="8" w:space="0" w:color="FFFFFF"/>
            </w:tcBorders>
            <w:shd w:val="clear" w:color="auto" w:fill="0082F0"/>
            <w:tcMar>
              <w:top w:w="72" w:type="dxa"/>
              <w:left w:w="144" w:type="dxa"/>
              <w:bottom w:w="72" w:type="dxa"/>
              <w:right w:w="144" w:type="dxa"/>
            </w:tcMar>
            <w:hideMark/>
          </w:tcPr>
          <w:p w14:paraId="16A668C7" w14:textId="77777777" w:rsidR="008717BF" w:rsidRPr="003C2819" w:rsidRDefault="008717BF" w:rsidP="008717BF">
            <w:pPr>
              <w:overflowPunct/>
              <w:autoSpaceDE/>
              <w:autoSpaceDN/>
              <w:adjustRightInd/>
              <w:spacing w:after="0"/>
              <w:jc w:val="center"/>
              <w:textAlignment w:val="auto"/>
              <w:rPr>
                <w:rFonts w:ascii="Arial" w:hAnsi="Arial" w:cs="Arial"/>
                <w:b/>
                <w:bCs/>
                <w:color w:val="FFFFFF"/>
                <w:kern w:val="24"/>
                <w:lang w:eastAsia="en-US"/>
              </w:rPr>
            </w:pPr>
            <w:proofErr w:type="spellStart"/>
            <w:r w:rsidRPr="003C2819">
              <w:rPr>
                <w:rFonts w:ascii="Arial" w:hAnsi="Arial" w:cs="Arial"/>
                <w:b/>
                <w:bCs/>
                <w:color w:val="FFFFFF"/>
                <w:kern w:val="24"/>
                <w:lang w:eastAsia="en-US"/>
              </w:rPr>
              <w:t>UMi</w:t>
            </w:r>
            <w:proofErr w:type="spellEnd"/>
          </w:p>
          <w:p w14:paraId="0D134A03" w14:textId="559A2C68" w:rsidR="008717BF" w:rsidRPr="003C2819" w:rsidRDefault="008717BF">
            <w:pPr>
              <w:overflowPunct/>
              <w:autoSpaceDE/>
              <w:autoSpaceDN/>
              <w:adjustRightInd/>
              <w:spacing w:after="0"/>
              <w:jc w:val="center"/>
              <w:textAlignment w:val="auto"/>
              <w:rPr>
                <w:rFonts w:ascii="Arial" w:hAnsi="Arial" w:cs="Arial"/>
                <w:lang w:eastAsia="en-US"/>
              </w:rPr>
            </w:pPr>
            <w:r w:rsidRPr="003C2819">
              <w:rPr>
                <w:rFonts w:ascii="Arial" w:hAnsi="Arial" w:cs="Arial"/>
                <w:b/>
                <w:bCs/>
                <w:color w:val="FFFFFF"/>
                <w:kern w:val="24"/>
                <w:lang w:eastAsia="en-US"/>
              </w:rPr>
              <w:t>(Outdoor Scenario A)</w:t>
            </w:r>
          </w:p>
        </w:tc>
        <w:tc>
          <w:tcPr>
            <w:tcW w:w="2263" w:type="dxa"/>
            <w:gridSpan w:val="2"/>
            <w:tcBorders>
              <w:top w:val="single" w:sz="8" w:space="0" w:color="FFFFFF"/>
              <w:left w:val="single" w:sz="8" w:space="0" w:color="FFFFFF"/>
              <w:bottom w:val="single" w:sz="24" w:space="0" w:color="FFFFFF"/>
              <w:right w:val="single" w:sz="8" w:space="0" w:color="FFFFFF"/>
            </w:tcBorders>
            <w:shd w:val="clear" w:color="auto" w:fill="0082F0"/>
            <w:tcMar>
              <w:top w:w="72" w:type="dxa"/>
              <w:left w:w="144" w:type="dxa"/>
              <w:bottom w:w="72" w:type="dxa"/>
              <w:right w:w="144" w:type="dxa"/>
            </w:tcMar>
            <w:hideMark/>
          </w:tcPr>
          <w:p w14:paraId="763AA5FF" w14:textId="08A6FBB2" w:rsidR="008717BF" w:rsidRPr="003C2819" w:rsidRDefault="008717BF" w:rsidP="008717BF">
            <w:pPr>
              <w:overflowPunct/>
              <w:autoSpaceDE/>
              <w:autoSpaceDN/>
              <w:adjustRightInd/>
              <w:spacing w:after="0"/>
              <w:jc w:val="center"/>
              <w:textAlignment w:val="auto"/>
              <w:rPr>
                <w:rFonts w:ascii="Arial" w:hAnsi="Arial" w:cs="Arial"/>
                <w:b/>
                <w:bCs/>
                <w:color w:val="FFFFFF"/>
                <w:kern w:val="24"/>
                <w:lang w:eastAsia="en-US"/>
              </w:rPr>
            </w:pPr>
            <w:proofErr w:type="spellStart"/>
            <w:r w:rsidRPr="003C2819">
              <w:rPr>
                <w:rFonts w:ascii="Arial" w:hAnsi="Arial" w:cs="Arial"/>
                <w:b/>
                <w:bCs/>
                <w:color w:val="FFFFFF"/>
                <w:kern w:val="24"/>
                <w:lang w:eastAsia="en-US"/>
              </w:rPr>
              <w:t>InF</w:t>
            </w:r>
            <w:proofErr w:type="spellEnd"/>
            <w:r w:rsidR="00E31920">
              <w:rPr>
                <w:rFonts w:ascii="Arial" w:hAnsi="Arial" w:cs="Arial"/>
                <w:b/>
                <w:color w:val="FFFFFF"/>
                <w:kern w:val="24"/>
                <w:lang w:eastAsia="en-US"/>
              </w:rPr>
              <w:t>-DH</w:t>
            </w:r>
          </w:p>
          <w:p w14:paraId="380AFF93" w14:textId="0420B7DF" w:rsidR="008717BF" w:rsidRPr="003C2819" w:rsidRDefault="008717BF">
            <w:pPr>
              <w:overflowPunct/>
              <w:autoSpaceDE/>
              <w:autoSpaceDN/>
              <w:adjustRightInd/>
              <w:spacing w:after="0"/>
              <w:jc w:val="center"/>
              <w:textAlignment w:val="auto"/>
              <w:rPr>
                <w:rFonts w:ascii="Arial" w:hAnsi="Arial" w:cs="Arial"/>
                <w:lang w:eastAsia="en-US"/>
              </w:rPr>
            </w:pPr>
            <w:r w:rsidRPr="003C2819">
              <w:rPr>
                <w:rFonts w:ascii="Arial" w:hAnsi="Arial" w:cs="Arial"/>
                <w:b/>
                <w:bCs/>
                <w:color w:val="FFFFFF"/>
                <w:kern w:val="24"/>
                <w:lang w:eastAsia="en-US"/>
              </w:rPr>
              <w:t>(Factory Scenario A)</w:t>
            </w:r>
          </w:p>
        </w:tc>
      </w:tr>
      <w:tr w:rsidR="008717BF" w:rsidRPr="008717BF" w14:paraId="2CA39188" w14:textId="77777777" w:rsidTr="003C2819">
        <w:trPr>
          <w:trHeight w:val="138"/>
          <w:jc w:val="center"/>
        </w:trPr>
        <w:tc>
          <w:tcPr>
            <w:tcW w:w="1917" w:type="dxa"/>
            <w:tcBorders>
              <w:top w:val="single" w:sz="24" w:space="0" w:color="FFFFFF"/>
              <w:left w:val="single" w:sz="8" w:space="0" w:color="FFFFFF"/>
              <w:bottom w:val="single" w:sz="8" w:space="0" w:color="FFFFFF"/>
              <w:right w:val="single" w:sz="8" w:space="0" w:color="FFFFFF"/>
            </w:tcBorders>
            <w:shd w:val="clear" w:color="auto" w:fill="0082F0"/>
            <w:tcMar>
              <w:top w:w="72" w:type="dxa"/>
              <w:left w:w="144" w:type="dxa"/>
              <w:bottom w:w="72" w:type="dxa"/>
              <w:right w:w="144" w:type="dxa"/>
            </w:tcMar>
            <w:hideMark/>
          </w:tcPr>
          <w:p w14:paraId="720DB447" w14:textId="77777777" w:rsidR="008717BF" w:rsidRDefault="008717BF" w:rsidP="008717BF">
            <w:pPr>
              <w:overflowPunct/>
              <w:autoSpaceDE/>
              <w:autoSpaceDN/>
              <w:adjustRightInd/>
              <w:spacing w:after="0"/>
              <w:jc w:val="center"/>
              <w:textAlignment w:val="auto"/>
              <w:rPr>
                <w:rFonts w:ascii="Arial" w:hAnsi="Arial" w:cs="Arial"/>
                <w:color w:val="FFFFFF" w:themeColor="background1"/>
                <w:lang w:eastAsia="en-US"/>
              </w:rPr>
            </w:pPr>
            <w:r w:rsidRPr="003C2819">
              <w:rPr>
                <w:rFonts w:ascii="Arial" w:hAnsi="Arial" w:cs="Arial"/>
                <w:color w:val="FFFFFF" w:themeColor="background1"/>
                <w:lang w:eastAsia="en-US"/>
              </w:rPr>
              <w:t>Carrier</w:t>
            </w:r>
          </w:p>
          <w:p w14:paraId="03FEB0D9" w14:textId="4807E5F5" w:rsidR="008717BF" w:rsidRPr="003C2819" w:rsidRDefault="008717BF" w:rsidP="003C2819">
            <w:pPr>
              <w:overflowPunct/>
              <w:autoSpaceDE/>
              <w:autoSpaceDN/>
              <w:adjustRightInd/>
              <w:spacing w:after="0"/>
              <w:jc w:val="center"/>
              <w:textAlignment w:val="auto"/>
              <w:rPr>
                <w:rFonts w:ascii="Arial" w:hAnsi="Arial" w:cs="Arial"/>
                <w:color w:val="FFFFFF" w:themeColor="background1"/>
                <w:lang w:eastAsia="en-US"/>
              </w:rPr>
            </w:pPr>
            <w:r w:rsidRPr="003C2819">
              <w:rPr>
                <w:rFonts w:ascii="Arial" w:hAnsi="Arial" w:cs="Arial"/>
                <w:color w:val="FFFFFF" w:themeColor="background1"/>
                <w:lang w:eastAsia="en-US"/>
              </w:rPr>
              <w:t>Bandwidth</w:t>
            </w:r>
          </w:p>
        </w:tc>
        <w:tc>
          <w:tcPr>
            <w:tcW w:w="1223" w:type="dxa"/>
            <w:tcBorders>
              <w:top w:val="single" w:sz="24" w:space="0" w:color="FFFFFF"/>
              <w:left w:val="single" w:sz="8" w:space="0" w:color="FFFFFF"/>
              <w:bottom w:val="single" w:sz="8" w:space="0" w:color="FFFFFF"/>
              <w:right w:val="single" w:sz="8" w:space="0" w:color="FFFFFF"/>
            </w:tcBorders>
            <w:shd w:val="clear" w:color="auto" w:fill="0082F0"/>
            <w:tcMar>
              <w:top w:w="72" w:type="dxa"/>
              <w:left w:w="144" w:type="dxa"/>
              <w:bottom w:w="72" w:type="dxa"/>
              <w:right w:w="144" w:type="dxa"/>
            </w:tcMar>
            <w:hideMark/>
          </w:tcPr>
          <w:p w14:paraId="5CD31619" w14:textId="4F27B5B0" w:rsidR="008717BF" w:rsidRPr="003C2819" w:rsidRDefault="008717BF">
            <w:pPr>
              <w:overflowPunct/>
              <w:autoSpaceDE/>
              <w:autoSpaceDN/>
              <w:adjustRightInd/>
              <w:spacing w:after="0"/>
              <w:jc w:val="center"/>
              <w:textAlignment w:val="auto"/>
              <w:rPr>
                <w:rFonts w:ascii="Arial" w:hAnsi="Arial" w:cs="Arial"/>
                <w:color w:val="FFFFFF" w:themeColor="background1"/>
                <w:lang w:eastAsia="en-US"/>
              </w:rPr>
            </w:pPr>
            <w:r w:rsidRPr="003C2819">
              <w:rPr>
                <w:rFonts w:ascii="Arial" w:hAnsi="Arial" w:cs="Arial"/>
                <w:color w:val="FFFFFF" w:themeColor="background1"/>
                <w:kern w:val="24"/>
                <w:lang w:eastAsia="en-US"/>
              </w:rPr>
              <w:t>40 dBm EIRP</w:t>
            </w:r>
          </w:p>
        </w:tc>
        <w:tc>
          <w:tcPr>
            <w:tcW w:w="1157" w:type="dxa"/>
            <w:tcBorders>
              <w:top w:val="single" w:sz="24" w:space="0" w:color="FFFFFF"/>
              <w:left w:val="single" w:sz="8" w:space="0" w:color="FFFFFF"/>
              <w:bottom w:val="single" w:sz="8" w:space="0" w:color="FFFFFF"/>
              <w:right w:val="single" w:sz="8" w:space="0" w:color="FFFFFF"/>
            </w:tcBorders>
            <w:shd w:val="clear" w:color="auto" w:fill="0082F0"/>
            <w:tcMar>
              <w:top w:w="72" w:type="dxa"/>
              <w:left w:w="144" w:type="dxa"/>
              <w:bottom w:w="72" w:type="dxa"/>
              <w:right w:w="144" w:type="dxa"/>
            </w:tcMar>
            <w:hideMark/>
          </w:tcPr>
          <w:p w14:paraId="2903AFCD" w14:textId="732EB733" w:rsidR="008717BF" w:rsidRPr="003C2819" w:rsidRDefault="008717BF">
            <w:pPr>
              <w:overflowPunct/>
              <w:autoSpaceDE/>
              <w:autoSpaceDN/>
              <w:adjustRightInd/>
              <w:spacing w:after="0"/>
              <w:jc w:val="center"/>
              <w:textAlignment w:val="auto"/>
              <w:rPr>
                <w:rFonts w:ascii="Arial" w:hAnsi="Arial" w:cs="Arial"/>
                <w:color w:val="FFFFFF" w:themeColor="background1"/>
                <w:lang w:eastAsia="en-US"/>
              </w:rPr>
            </w:pPr>
            <w:r w:rsidRPr="003C2819">
              <w:rPr>
                <w:rFonts w:ascii="Arial" w:hAnsi="Arial" w:cs="Arial"/>
                <w:color w:val="FFFFFF" w:themeColor="background1"/>
                <w:kern w:val="24"/>
                <w:lang w:eastAsia="en-US"/>
              </w:rPr>
              <w:t>55 dBm EIRP</w:t>
            </w:r>
          </w:p>
        </w:tc>
        <w:tc>
          <w:tcPr>
            <w:tcW w:w="1003" w:type="dxa"/>
            <w:tcBorders>
              <w:top w:val="single" w:sz="24" w:space="0" w:color="FFFFFF"/>
              <w:left w:val="single" w:sz="8" w:space="0" w:color="FFFFFF"/>
              <w:bottom w:val="single" w:sz="8" w:space="0" w:color="FFFFFF"/>
              <w:right w:val="single" w:sz="8" w:space="0" w:color="FFFFFF"/>
            </w:tcBorders>
            <w:shd w:val="clear" w:color="auto" w:fill="0082F0"/>
            <w:tcMar>
              <w:top w:w="72" w:type="dxa"/>
              <w:left w:w="144" w:type="dxa"/>
              <w:bottom w:w="72" w:type="dxa"/>
              <w:right w:w="144" w:type="dxa"/>
            </w:tcMar>
            <w:hideMark/>
          </w:tcPr>
          <w:p w14:paraId="564B5EC3" w14:textId="77777777" w:rsidR="008717BF" w:rsidRPr="003C2819" w:rsidRDefault="008717BF">
            <w:pPr>
              <w:overflowPunct/>
              <w:autoSpaceDE/>
              <w:autoSpaceDN/>
              <w:adjustRightInd/>
              <w:spacing w:after="0"/>
              <w:jc w:val="center"/>
              <w:textAlignment w:val="auto"/>
              <w:rPr>
                <w:rFonts w:ascii="Arial" w:hAnsi="Arial" w:cs="Arial"/>
                <w:color w:val="FFFFFF" w:themeColor="background1"/>
                <w:kern w:val="24"/>
                <w:lang w:eastAsia="en-US"/>
              </w:rPr>
            </w:pPr>
            <w:r w:rsidRPr="003C2819">
              <w:rPr>
                <w:rFonts w:ascii="Arial" w:hAnsi="Arial" w:cs="Arial"/>
                <w:color w:val="FFFFFF" w:themeColor="background1"/>
                <w:kern w:val="24"/>
                <w:lang w:eastAsia="en-US"/>
              </w:rPr>
              <w:t>40 dBm</w:t>
            </w:r>
          </w:p>
          <w:p w14:paraId="0D7C0279" w14:textId="488236C7" w:rsidR="008717BF" w:rsidRPr="003C2819" w:rsidRDefault="008717BF">
            <w:pPr>
              <w:overflowPunct/>
              <w:autoSpaceDE/>
              <w:autoSpaceDN/>
              <w:adjustRightInd/>
              <w:spacing w:after="0"/>
              <w:jc w:val="center"/>
              <w:textAlignment w:val="auto"/>
              <w:rPr>
                <w:rFonts w:ascii="Arial" w:hAnsi="Arial" w:cs="Arial"/>
                <w:color w:val="FFFFFF" w:themeColor="background1"/>
                <w:lang w:eastAsia="en-US"/>
              </w:rPr>
            </w:pPr>
            <w:r w:rsidRPr="003C2819">
              <w:rPr>
                <w:rFonts w:ascii="Arial" w:hAnsi="Arial" w:cs="Arial"/>
                <w:color w:val="FFFFFF" w:themeColor="background1"/>
                <w:lang w:eastAsia="en-US"/>
              </w:rPr>
              <w:t>EIRP</w:t>
            </w:r>
          </w:p>
        </w:tc>
        <w:tc>
          <w:tcPr>
            <w:tcW w:w="1260" w:type="dxa"/>
            <w:tcBorders>
              <w:top w:val="single" w:sz="24" w:space="0" w:color="FFFFFF"/>
              <w:left w:val="single" w:sz="8" w:space="0" w:color="FFFFFF"/>
              <w:bottom w:val="single" w:sz="8" w:space="0" w:color="FFFFFF"/>
              <w:right w:val="single" w:sz="8" w:space="0" w:color="FFFFFF"/>
            </w:tcBorders>
            <w:shd w:val="clear" w:color="auto" w:fill="0082F0"/>
            <w:tcMar>
              <w:top w:w="72" w:type="dxa"/>
              <w:left w:w="144" w:type="dxa"/>
              <w:bottom w:w="72" w:type="dxa"/>
              <w:right w:w="144" w:type="dxa"/>
            </w:tcMar>
            <w:hideMark/>
          </w:tcPr>
          <w:p w14:paraId="29124D94" w14:textId="77777777" w:rsidR="008717BF" w:rsidRPr="003C2819" w:rsidRDefault="008717BF">
            <w:pPr>
              <w:overflowPunct/>
              <w:autoSpaceDE/>
              <w:autoSpaceDN/>
              <w:adjustRightInd/>
              <w:spacing w:after="0"/>
              <w:jc w:val="center"/>
              <w:textAlignment w:val="auto"/>
              <w:rPr>
                <w:rFonts w:ascii="Arial" w:hAnsi="Arial" w:cs="Arial"/>
                <w:color w:val="FFFFFF" w:themeColor="background1"/>
                <w:kern w:val="24"/>
                <w:lang w:eastAsia="en-US"/>
              </w:rPr>
            </w:pPr>
            <w:r w:rsidRPr="003C2819">
              <w:rPr>
                <w:rFonts w:ascii="Arial" w:hAnsi="Arial" w:cs="Arial"/>
                <w:color w:val="FFFFFF" w:themeColor="background1"/>
                <w:kern w:val="24"/>
                <w:lang w:eastAsia="en-US"/>
              </w:rPr>
              <w:t>55 dBm</w:t>
            </w:r>
          </w:p>
          <w:p w14:paraId="69779BDE" w14:textId="7B46A51D" w:rsidR="008717BF" w:rsidRPr="003C2819" w:rsidRDefault="008717BF">
            <w:pPr>
              <w:overflowPunct/>
              <w:autoSpaceDE/>
              <w:autoSpaceDN/>
              <w:adjustRightInd/>
              <w:spacing w:after="0"/>
              <w:jc w:val="center"/>
              <w:textAlignment w:val="auto"/>
              <w:rPr>
                <w:rFonts w:ascii="Arial" w:hAnsi="Arial" w:cs="Arial"/>
                <w:color w:val="FFFFFF" w:themeColor="background1"/>
                <w:lang w:eastAsia="en-US"/>
              </w:rPr>
            </w:pPr>
            <w:r w:rsidRPr="003C2819">
              <w:rPr>
                <w:rFonts w:ascii="Arial" w:hAnsi="Arial" w:cs="Arial"/>
                <w:color w:val="FFFFFF" w:themeColor="background1"/>
                <w:lang w:eastAsia="en-US"/>
              </w:rPr>
              <w:t>EIRP</w:t>
            </w:r>
          </w:p>
        </w:tc>
      </w:tr>
      <w:tr w:rsidR="008717BF" w:rsidRPr="008717BF" w14:paraId="3E18838B" w14:textId="77777777" w:rsidTr="003C2819">
        <w:trPr>
          <w:trHeight w:val="277"/>
          <w:jc w:val="center"/>
        </w:trPr>
        <w:tc>
          <w:tcPr>
            <w:tcW w:w="1917" w:type="dxa"/>
            <w:tcBorders>
              <w:top w:val="single" w:sz="8" w:space="0" w:color="FFFFFF"/>
              <w:left w:val="single" w:sz="8" w:space="0" w:color="FFFFFF"/>
              <w:bottom w:val="single" w:sz="8" w:space="0" w:color="FFFFFF"/>
              <w:right w:val="single" w:sz="8" w:space="0" w:color="FFFFFF"/>
            </w:tcBorders>
            <w:shd w:val="clear" w:color="auto" w:fill="E7EDFC"/>
            <w:tcMar>
              <w:top w:w="72" w:type="dxa"/>
              <w:left w:w="144" w:type="dxa"/>
              <w:bottom w:w="72" w:type="dxa"/>
              <w:right w:w="144" w:type="dxa"/>
            </w:tcMar>
            <w:hideMark/>
          </w:tcPr>
          <w:p w14:paraId="5D8AC26D" w14:textId="02310C9C" w:rsidR="008717BF" w:rsidRPr="003C2819" w:rsidRDefault="008717BF">
            <w:pPr>
              <w:overflowPunct/>
              <w:autoSpaceDE/>
              <w:autoSpaceDN/>
              <w:adjustRightInd/>
              <w:spacing w:after="0"/>
              <w:jc w:val="center"/>
              <w:textAlignment w:val="auto"/>
              <w:rPr>
                <w:rFonts w:ascii="Arial" w:hAnsi="Arial" w:cs="Arial"/>
                <w:lang w:eastAsia="en-US"/>
              </w:rPr>
            </w:pPr>
            <w:r w:rsidRPr="003C2819">
              <w:rPr>
                <w:rFonts w:ascii="Arial" w:hAnsi="Arial" w:cs="Arial"/>
                <w:color w:val="181818"/>
                <w:kern w:val="24"/>
                <w:lang w:eastAsia="en-US"/>
              </w:rPr>
              <w:t>400</w:t>
            </w:r>
            <w:r>
              <w:rPr>
                <w:rFonts w:ascii="Arial" w:hAnsi="Arial" w:cs="Arial"/>
                <w:color w:val="181818"/>
                <w:kern w:val="24"/>
                <w:lang w:eastAsia="en-US"/>
              </w:rPr>
              <w:t xml:space="preserve"> </w:t>
            </w:r>
            <w:r w:rsidRPr="003C2819">
              <w:rPr>
                <w:rFonts w:ascii="Arial" w:hAnsi="Arial" w:cs="Arial"/>
                <w:color w:val="181818"/>
                <w:kern w:val="24"/>
                <w:lang w:eastAsia="en-US"/>
              </w:rPr>
              <w:t>MHz</w:t>
            </w:r>
          </w:p>
        </w:tc>
        <w:tc>
          <w:tcPr>
            <w:tcW w:w="1223" w:type="dxa"/>
            <w:tcBorders>
              <w:top w:val="single" w:sz="8" w:space="0" w:color="FFFFFF"/>
              <w:left w:val="single" w:sz="8" w:space="0" w:color="FFFFFF"/>
              <w:bottom w:val="single" w:sz="8" w:space="0" w:color="FFFFFF"/>
              <w:right w:val="single" w:sz="8" w:space="0" w:color="FFFFFF"/>
            </w:tcBorders>
            <w:shd w:val="clear" w:color="auto" w:fill="E7EDFC"/>
            <w:tcMar>
              <w:top w:w="72" w:type="dxa"/>
              <w:left w:w="144" w:type="dxa"/>
              <w:bottom w:w="72" w:type="dxa"/>
              <w:right w:w="144" w:type="dxa"/>
            </w:tcMar>
            <w:hideMark/>
          </w:tcPr>
          <w:p w14:paraId="2F51B893" w14:textId="77777777" w:rsidR="008717BF" w:rsidRPr="003C2819" w:rsidRDefault="008717BF">
            <w:pPr>
              <w:overflowPunct/>
              <w:autoSpaceDE/>
              <w:autoSpaceDN/>
              <w:adjustRightInd/>
              <w:spacing w:after="0"/>
              <w:jc w:val="center"/>
              <w:textAlignment w:val="auto"/>
              <w:rPr>
                <w:rFonts w:ascii="Arial" w:hAnsi="Arial" w:cs="Arial"/>
                <w:lang w:eastAsia="en-US"/>
              </w:rPr>
            </w:pPr>
            <w:r w:rsidRPr="003C2819">
              <w:rPr>
                <w:rFonts w:ascii="Arial" w:hAnsi="Arial" w:cs="Arial"/>
                <w:color w:val="181818"/>
                <w:kern w:val="24"/>
                <w:lang w:eastAsia="en-US"/>
              </w:rPr>
              <w:t>0%</w:t>
            </w:r>
          </w:p>
        </w:tc>
        <w:tc>
          <w:tcPr>
            <w:tcW w:w="1157" w:type="dxa"/>
            <w:tcBorders>
              <w:top w:val="single" w:sz="8" w:space="0" w:color="FFFFFF"/>
              <w:left w:val="single" w:sz="8" w:space="0" w:color="FFFFFF"/>
              <w:bottom w:val="single" w:sz="8" w:space="0" w:color="FFFFFF"/>
              <w:right w:val="single" w:sz="8" w:space="0" w:color="FFFFFF"/>
            </w:tcBorders>
            <w:shd w:val="clear" w:color="auto" w:fill="E7EDFC"/>
            <w:tcMar>
              <w:top w:w="72" w:type="dxa"/>
              <w:left w:w="144" w:type="dxa"/>
              <w:bottom w:w="72" w:type="dxa"/>
              <w:right w:w="144" w:type="dxa"/>
            </w:tcMar>
            <w:hideMark/>
          </w:tcPr>
          <w:p w14:paraId="6D22A53C" w14:textId="77777777" w:rsidR="008717BF" w:rsidRPr="003C2819" w:rsidRDefault="008717BF">
            <w:pPr>
              <w:overflowPunct/>
              <w:autoSpaceDE/>
              <w:autoSpaceDN/>
              <w:adjustRightInd/>
              <w:spacing w:after="0"/>
              <w:jc w:val="center"/>
              <w:textAlignment w:val="auto"/>
              <w:rPr>
                <w:rFonts w:ascii="Arial" w:hAnsi="Arial" w:cs="Arial"/>
                <w:lang w:eastAsia="en-US"/>
              </w:rPr>
            </w:pPr>
            <w:r w:rsidRPr="003C2819">
              <w:rPr>
                <w:rFonts w:ascii="Arial" w:hAnsi="Arial" w:cs="Arial"/>
                <w:color w:val="181818"/>
                <w:kern w:val="24"/>
                <w:lang w:eastAsia="en-US"/>
              </w:rPr>
              <w:t>6%</w:t>
            </w:r>
          </w:p>
        </w:tc>
        <w:tc>
          <w:tcPr>
            <w:tcW w:w="1003" w:type="dxa"/>
            <w:tcBorders>
              <w:top w:val="single" w:sz="8" w:space="0" w:color="FFFFFF"/>
              <w:left w:val="single" w:sz="8" w:space="0" w:color="FFFFFF"/>
              <w:bottom w:val="single" w:sz="8" w:space="0" w:color="FFFFFF"/>
              <w:right w:val="single" w:sz="8" w:space="0" w:color="FFFFFF"/>
            </w:tcBorders>
            <w:shd w:val="clear" w:color="auto" w:fill="E7EDFC"/>
            <w:tcMar>
              <w:top w:w="72" w:type="dxa"/>
              <w:left w:w="144" w:type="dxa"/>
              <w:bottom w:w="72" w:type="dxa"/>
              <w:right w:w="144" w:type="dxa"/>
            </w:tcMar>
            <w:hideMark/>
          </w:tcPr>
          <w:p w14:paraId="6529D3B9" w14:textId="579BFE69" w:rsidR="008717BF" w:rsidRPr="003C2819" w:rsidRDefault="008717BF">
            <w:pPr>
              <w:overflowPunct/>
              <w:autoSpaceDE/>
              <w:autoSpaceDN/>
              <w:adjustRightInd/>
              <w:spacing w:after="0"/>
              <w:jc w:val="center"/>
              <w:textAlignment w:val="auto"/>
              <w:rPr>
                <w:rFonts w:ascii="Arial" w:hAnsi="Arial" w:cs="Arial"/>
                <w:lang w:eastAsia="en-US"/>
              </w:rPr>
            </w:pPr>
            <w:r w:rsidRPr="003C2819">
              <w:rPr>
                <w:rFonts w:ascii="Arial" w:hAnsi="Arial" w:cs="Arial"/>
                <w:color w:val="181818"/>
                <w:kern w:val="24"/>
                <w:lang w:eastAsia="en-US"/>
              </w:rPr>
              <w:t>2</w:t>
            </w:r>
            <w:r w:rsidR="00880842">
              <w:rPr>
                <w:rFonts w:ascii="Arial" w:hAnsi="Arial" w:cs="Arial"/>
                <w:color w:val="181818"/>
                <w:kern w:val="24"/>
                <w:lang w:eastAsia="en-US"/>
              </w:rPr>
              <w:t>2</w:t>
            </w:r>
            <w:r w:rsidRPr="003C2819">
              <w:rPr>
                <w:rFonts w:ascii="Arial" w:hAnsi="Arial" w:cs="Arial"/>
                <w:color w:val="181818"/>
                <w:kern w:val="24"/>
                <w:lang w:eastAsia="en-US"/>
              </w:rPr>
              <w:t>%</w:t>
            </w:r>
          </w:p>
        </w:tc>
        <w:tc>
          <w:tcPr>
            <w:tcW w:w="1260" w:type="dxa"/>
            <w:tcBorders>
              <w:top w:val="single" w:sz="8" w:space="0" w:color="FFFFFF"/>
              <w:left w:val="single" w:sz="8" w:space="0" w:color="FFFFFF"/>
              <w:bottom w:val="single" w:sz="8" w:space="0" w:color="FFFFFF"/>
              <w:right w:val="single" w:sz="8" w:space="0" w:color="FFFFFF"/>
            </w:tcBorders>
            <w:shd w:val="clear" w:color="auto" w:fill="E7EDFC"/>
            <w:tcMar>
              <w:top w:w="72" w:type="dxa"/>
              <w:left w:w="144" w:type="dxa"/>
              <w:bottom w:w="72" w:type="dxa"/>
              <w:right w:w="144" w:type="dxa"/>
            </w:tcMar>
            <w:hideMark/>
          </w:tcPr>
          <w:p w14:paraId="10AC53D3" w14:textId="167BEF05" w:rsidR="008717BF" w:rsidRPr="003C2819" w:rsidRDefault="00880842">
            <w:pPr>
              <w:overflowPunct/>
              <w:autoSpaceDE/>
              <w:autoSpaceDN/>
              <w:adjustRightInd/>
              <w:spacing w:after="0"/>
              <w:jc w:val="center"/>
              <w:textAlignment w:val="auto"/>
              <w:rPr>
                <w:rFonts w:ascii="Arial" w:hAnsi="Arial" w:cs="Arial"/>
                <w:lang w:eastAsia="en-US"/>
              </w:rPr>
            </w:pPr>
            <w:r>
              <w:rPr>
                <w:rFonts w:ascii="Arial" w:hAnsi="Arial" w:cs="Arial"/>
                <w:color w:val="181818"/>
                <w:kern w:val="24"/>
                <w:lang w:eastAsia="en-US"/>
              </w:rPr>
              <w:t>50</w:t>
            </w:r>
            <w:r w:rsidR="008717BF" w:rsidRPr="003C2819">
              <w:rPr>
                <w:rFonts w:ascii="Arial" w:hAnsi="Arial" w:cs="Arial"/>
                <w:color w:val="181818"/>
                <w:kern w:val="24"/>
                <w:lang w:eastAsia="en-US"/>
              </w:rPr>
              <w:t>%</w:t>
            </w:r>
          </w:p>
        </w:tc>
      </w:tr>
      <w:tr w:rsidR="008717BF" w:rsidRPr="008717BF" w14:paraId="2D0B01F0" w14:textId="77777777" w:rsidTr="003C2819">
        <w:trPr>
          <w:trHeight w:val="106"/>
          <w:jc w:val="center"/>
        </w:trPr>
        <w:tc>
          <w:tcPr>
            <w:tcW w:w="1917" w:type="dxa"/>
            <w:tcBorders>
              <w:top w:val="single" w:sz="8"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4D7B46AF" w14:textId="77777777" w:rsidR="008717BF" w:rsidRPr="003C2819" w:rsidRDefault="008717BF">
            <w:pPr>
              <w:overflowPunct/>
              <w:autoSpaceDE/>
              <w:autoSpaceDN/>
              <w:adjustRightInd/>
              <w:spacing w:after="0"/>
              <w:jc w:val="center"/>
              <w:textAlignment w:val="auto"/>
              <w:rPr>
                <w:rFonts w:ascii="Arial" w:hAnsi="Arial" w:cs="Arial"/>
                <w:lang w:eastAsia="en-US"/>
              </w:rPr>
            </w:pPr>
            <w:r w:rsidRPr="003C2819">
              <w:rPr>
                <w:rFonts w:ascii="Arial" w:hAnsi="Arial" w:cs="Arial"/>
                <w:color w:val="181818"/>
                <w:kern w:val="24"/>
                <w:lang w:eastAsia="en-US"/>
              </w:rPr>
              <w:t>2000 MHz</w:t>
            </w:r>
          </w:p>
        </w:tc>
        <w:tc>
          <w:tcPr>
            <w:tcW w:w="1223" w:type="dxa"/>
            <w:tcBorders>
              <w:top w:val="single" w:sz="8"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0D538397" w14:textId="5FF8EFFD" w:rsidR="008717BF" w:rsidRPr="003C2819" w:rsidRDefault="008717BF">
            <w:pPr>
              <w:overflowPunct/>
              <w:autoSpaceDE/>
              <w:autoSpaceDN/>
              <w:adjustRightInd/>
              <w:spacing w:after="0"/>
              <w:jc w:val="center"/>
              <w:textAlignment w:val="auto"/>
              <w:rPr>
                <w:rFonts w:ascii="Arial" w:hAnsi="Arial" w:cs="Arial"/>
                <w:lang w:eastAsia="en-US"/>
              </w:rPr>
            </w:pPr>
            <w:r w:rsidRPr="003C2819">
              <w:rPr>
                <w:rFonts w:ascii="Arial" w:hAnsi="Arial" w:cs="Arial"/>
                <w:color w:val="181818"/>
                <w:kern w:val="24"/>
                <w:lang w:eastAsia="en-US"/>
              </w:rPr>
              <w:t>0%</w:t>
            </w:r>
          </w:p>
        </w:tc>
        <w:tc>
          <w:tcPr>
            <w:tcW w:w="1157" w:type="dxa"/>
            <w:tcBorders>
              <w:top w:val="single" w:sz="8"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57EBED6E" w14:textId="77777777" w:rsidR="008717BF" w:rsidRPr="003C2819" w:rsidRDefault="008717BF">
            <w:pPr>
              <w:overflowPunct/>
              <w:autoSpaceDE/>
              <w:autoSpaceDN/>
              <w:adjustRightInd/>
              <w:spacing w:after="0"/>
              <w:jc w:val="center"/>
              <w:textAlignment w:val="auto"/>
              <w:rPr>
                <w:rFonts w:ascii="Arial" w:hAnsi="Arial" w:cs="Arial"/>
                <w:lang w:eastAsia="en-US"/>
              </w:rPr>
            </w:pPr>
            <w:r w:rsidRPr="003C2819">
              <w:rPr>
                <w:rFonts w:ascii="Arial" w:hAnsi="Arial" w:cs="Arial"/>
                <w:color w:val="181818"/>
                <w:kern w:val="24"/>
                <w:lang w:eastAsia="en-US"/>
              </w:rPr>
              <w:t>2%</w:t>
            </w:r>
          </w:p>
        </w:tc>
        <w:tc>
          <w:tcPr>
            <w:tcW w:w="1003" w:type="dxa"/>
            <w:tcBorders>
              <w:top w:val="single" w:sz="8"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110069EF" w14:textId="655E61F6" w:rsidR="008717BF" w:rsidRPr="003C2819" w:rsidRDefault="00E278E3">
            <w:pPr>
              <w:overflowPunct/>
              <w:autoSpaceDE/>
              <w:autoSpaceDN/>
              <w:adjustRightInd/>
              <w:spacing w:after="0"/>
              <w:jc w:val="center"/>
              <w:textAlignment w:val="auto"/>
              <w:rPr>
                <w:rFonts w:ascii="Arial" w:hAnsi="Arial" w:cs="Arial"/>
                <w:lang w:eastAsia="en-US"/>
              </w:rPr>
            </w:pPr>
            <w:r>
              <w:rPr>
                <w:rFonts w:ascii="Arial" w:hAnsi="Arial" w:cs="Arial"/>
                <w:color w:val="181818"/>
                <w:kern w:val="24"/>
                <w:lang w:eastAsia="en-US"/>
              </w:rPr>
              <w:t>10</w:t>
            </w:r>
            <w:r w:rsidR="008717BF" w:rsidRPr="003C2819">
              <w:rPr>
                <w:rFonts w:ascii="Arial" w:hAnsi="Arial" w:cs="Arial"/>
                <w:color w:val="181818"/>
                <w:kern w:val="24"/>
                <w:lang w:eastAsia="en-US"/>
              </w:rPr>
              <w:t>%</w:t>
            </w:r>
          </w:p>
        </w:tc>
        <w:tc>
          <w:tcPr>
            <w:tcW w:w="1260" w:type="dxa"/>
            <w:tcBorders>
              <w:top w:val="single" w:sz="8" w:space="0" w:color="FFFFFF"/>
              <w:left w:val="single" w:sz="8" w:space="0" w:color="FFFFFF"/>
              <w:bottom w:val="single" w:sz="8" w:space="0" w:color="FFFFFF"/>
              <w:right w:val="single" w:sz="8" w:space="0" w:color="FFFFFF"/>
            </w:tcBorders>
            <w:shd w:val="clear" w:color="auto" w:fill="CBD8F9"/>
            <w:tcMar>
              <w:top w:w="72" w:type="dxa"/>
              <w:left w:w="144" w:type="dxa"/>
              <w:bottom w:w="72" w:type="dxa"/>
              <w:right w:w="144" w:type="dxa"/>
            </w:tcMar>
            <w:hideMark/>
          </w:tcPr>
          <w:p w14:paraId="57ECA88D" w14:textId="70E0FB06" w:rsidR="008717BF" w:rsidRPr="003C2819" w:rsidRDefault="00880842">
            <w:pPr>
              <w:overflowPunct/>
              <w:autoSpaceDE/>
              <w:autoSpaceDN/>
              <w:adjustRightInd/>
              <w:spacing w:after="0"/>
              <w:jc w:val="center"/>
              <w:textAlignment w:val="auto"/>
              <w:rPr>
                <w:rFonts w:ascii="Arial" w:hAnsi="Arial" w:cs="Arial"/>
                <w:lang w:eastAsia="en-US"/>
              </w:rPr>
            </w:pPr>
            <w:r>
              <w:rPr>
                <w:rFonts w:ascii="Arial" w:hAnsi="Arial" w:cs="Arial"/>
                <w:color w:val="181818"/>
                <w:kern w:val="24"/>
                <w:lang w:eastAsia="en-US"/>
              </w:rPr>
              <w:t>37</w:t>
            </w:r>
            <w:r w:rsidR="008717BF" w:rsidRPr="003C2819">
              <w:rPr>
                <w:rFonts w:ascii="Arial" w:hAnsi="Arial" w:cs="Arial"/>
                <w:color w:val="181818"/>
                <w:kern w:val="24"/>
                <w:lang w:eastAsia="en-US"/>
              </w:rPr>
              <w:t>%</w:t>
            </w:r>
          </w:p>
        </w:tc>
      </w:tr>
    </w:tbl>
    <w:p w14:paraId="0C522047" w14:textId="77777777" w:rsidR="008717BF" w:rsidRDefault="008717BF" w:rsidP="006B0D57">
      <w:pPr>
        <w:pStyle w:val="BodyText"/>
      </w:pPr>
    </w:p>
    <w:p w14:paraId="56D3F674" w14:textId="020AFB29" w:rsidR="00B5774F" w:rsidRDefault="00FF68B1" w:rsidP="006B0D57">
      <w:pPr>
        <w:pStyle w:val="BodyText"/>
      </w:pPr>
      <w:r>
        <w:t xml:space="preserve">Evidently, for the indoor factory scenario, the percentage of links for </w:t>
      </w:r>
      <w:r w:rsidR="000D318F">
        <w:t xml:space="preserve">which </w:t>
      </w:r>
      <w:r>
        <w:t xml:space="preserve">interference due to ISI is dominant can be significant for 960 kHz, thus limiting achievable data rates. </w:t>
      </w:r>
      <w:r w:rsidR="00B5774F">
        <w:t>Put another way, if using 960 kHz SCS, there are a significant number of links for which a high data rate could be achieved if ISI was not limiting due to too short CP. This is especially true when one factors in other sources of synchronization errors such as initial timing error, timing advance setting, timing advance adjustment granularity, and timing differences expected in multi-TRP deployments</w:t>
      </w:r>
      <w:r w:rsidR="00B021DC">
        <w:t xml:space="preserve"> (see analysis in Section 3.4)</w:t>
      </w:r>
      <w:r w:rsidR="00B5774F">
        <w:t xml:space="preserve">. With these sources of error, there is </w:t>
      </w:r>
      <w:proofErr w:type="gramStart"/>
      <w:r w:rsidR="00B5774F">
        <w:t>little</w:t>
      </w:r>
      <w:proofErr w:type="gramEnd"/>
      <w:r w:rsidR="00B5774F">
        <w:t xml:space="preserve"> or no margin left for delay spread if using 960 kHz SCS. This motivates the use of lower subcarrier spacings, e.g., 480 kHz for which the CP is double the duration.</w:t>
      </w:r>
    </w:p>
    <w:p w14:paraId="6C3CDBBD" w14:textId="392DCAF6" w:rsidR="006B0D57" w:rsidRDefault="00B5774F" w:rsidP="006B0D57">
      <w:pPr>
        <w:pStyle w:val="BodyText"/>
      </w:pPr>
      <w:r>
        <w:t>The above analysis</w:t>
      </w:r>
      <w:r w:rsidR="006B0D57" w:rsidRPr="00F94015">
        <w:t xml:space="preserve"> clearly demonstrate</w:t>
      </w:r>
      <w:r>
        <w:t>s</w:t>
      </w:r>
      <w:r w:rsidR="006B0D57" w:rsidRPr="00F94015">
        <w:t xml:space="preserve"> that it is important to perform link level evaluations with</w:t>
      </w:r>
      <w:r>
        <w:t xml:space="preserve"> sufficiently large post-beamforming RMS delay spreads to cover a suitable range of deployment scenarios, including the indoor factory scenario considered </w:t>
      </w:r>
      <w:r w:rsidR="000D318F">
        <w:t>here</w:t>
      </w:r>
      <w:r>
        <w:t xml:space="preserve">. </w:t>
      </w:r>
      <w:r w:rsidR="006B0D57" w:rsidRPr="00F94015">
        <w:t>It would be dangerous to make SCS selections based</w:t>
      </w:r>
      <w:r>
        <w:t xml:space="preserve"> on too optimistic assumptions</w:t>
      </w:r>
      <w:r w:rsidR="006B0D57" w:rsidRPr="00F94015">
        <w:t>. Moreover, the SCS selection must account not only</w:t>
      </w:r>
      <w:r w:rsidR="006B0D57">
        <w:t xml:space="preserve"> for </w:t>
      </w:r>
      <w:r w:rsidR="006B0D57" w:rsidRPr="00F94015">
        <w:t xml:space="preserve">delay </w:t>
      </w:r>
      <w:proofErr w:type="gramStart"/>
      <w:r w:rsidR="006B0D57" w:rsidRPr="00F94015">
        <w:t>spread, but</w:t>
      </w:r>
      <w:proofErr w:type="gramEnd"/>
      <w:r w:rsidR="006B0D57" w:rsidRPr="00F94015">
        <w:t xml:space="preserve"> must leave </w:t>
      </w:r>
      <w:r w:rsidR="006B0D57">
        <w:t xml:space="preserve">sufficient </w:t>
      </w:r>
      <w:r w:rsidR="006B0D57" w:rsidRPr="00F94015">
        <w:t>margin for various sources of time synchronization error</w:t>
      </w:r>
      <w:r>
        <w:t>.</w:t>
      </w:r>
    </w:p>
    <w:p w14:paraId="75C6D80B" w14:textId="53B7D484" w:rsidR="006B0D57" w:rsidRDefault="006B0D57" w:rsidP="003C2819">
      <w:pPr>
        <w:pStyle w:val="Observation"/>
        <w:ind w:left="1620" w:hanging="1620"/>
      </w:pPr>
      <w:bookmarkStart w:id="98" w:name="_Toc47697965"/>
      <w:bookmarkStart w:id="99" w:name="_Toc47709982"/>
      <w:bookmarkStart w:id="100" w:name="_Toc47710008"/>
      <w:bookmarkStart w:id="101" w:name="_Toc47697966"/>
      <w:bookmarkStart w:id="102" w:name="_Toc47709983"/>
      <w:bookmarkStart w:id="103" w:name="_Toc47710009"/>
      <w:bookmarkStart w:id="104" w:name="_Toc53775920"/>
      <w:bookmarkEnd w:id="98"/>
      <w:bookmarkEnd w:id="99"/>
      <w:bookmarkEnd w:id="100"/>
      <w:bookmarkEnd w:id="101"/>
      <w:bookmarkEnd w:id="102"/>
      <w:bookmarkEnd w:id="103"/>
      <w:r w:rsidRPr="00774DE9">
        <w:t xml:space="preserve">For selection of suitable SCS for the 52.6 – 71 GHz frequency range, it is important to perform link level evaluations with </w:t>
      </w:r>
      <w:r w:rsidR="00B5774F">
        <w:t>sufficiently large post-beamforming</w:t>
      </w:r>
      <w:r w:rsidRPr="00774DE9">
        <w:t xml:space="preserve"> RMS delay spreads that are representative of a suitable range of deployment scenarios</w:t>
      </w:r>
      <w:r w:rsidR="00B5774F">
        <w:t xml:space="preserve"> including the indoor factory scenario analyzed above</w:t>
      </w:r>
      <w:r w:rsidR="00B021DC">
        <w:t xml:space="preserve"> (e.g., up to at least 40 ns using the agreed TDL-A model)</w:t>
      </w:r>
      <w:r w:rsidRPr="00774DE9">
        <w:t>.</w:t>
      </w:r>
      <w:r w:rsidR="00B021DC">
        <w:t xml:space="preserve"> It is important to consider the margin left over </w:t>
      </w:r>
      <w:r w:rsidRPr="00774DE9">
        <w:t>for other sources of time synchronization error</w:t>
      </w:r>
      <w:r w:rsidR="00B021DC">
        <w:t xml:space="preserve"> such as initial timing error, timing advance setting, timing advance adjustment granularity, and timing differences expected in multi-TRP deployments.</w:t>
      </w:r>
      <w:bookmarkEnd w:id="104"/>
    </w:p>
    <w:p w14:paraId="36D67473" w14:textId="2BDDE07F" w:rsidR="00DA4FF0" w:rsidRDefault="005A6A11" w:rsidP="00DA4FF0">
      <w:pPr>
        <w:pStyle w:val="Heading2"/>
      </w:pPr>
      <w:bookmarkStart w:id="105" w:name="_Toc53775892"/>
      <w:r>
        <w:lastRenderedPageBreak/>
        <w:t>3</w:t>
      </w:r>
      <w:r w:rsidR="00DA4FF0">
        <w:t>.</w:t>
      </w:r>
      <w:r w:rsidR="00A7546B">
        <w:t>3</w:t>
      </w:r>
      <w:r w:rsidR="00DA4FF0">
        <w:tab/>
      </w:r>
      <w:r w:rsidR="00651667">
        <w:t>P</w:t>
      </w:r>
      <w:r w:rsidR="00DA4FF0">
        <w:t xml:space="preserve">hase noise </w:t>
      </w:r>
      <w:bookmarkEnd w:id="76"/>
      <w:bookmarkEnd w:id="77"/>
      <w:r w:rsidR="006B0D57">
        <w:t>issues</w:t>
      </w:r>
      <w:bookmarkEnd w:id="105"/>
    </w:p>
    <w:p w14:paraId="06796273" w14:textId="78A117BC" w:rsidR="006A1074" w:rsidRDefault="00DA4FF0" w:rsidP="00DA4FF0">
      <w:pPr>
        <w:pStyle w:val="BodyText"/>
      </w:pPr>
      <w:r>
        <w:t xml:space="preserve">In the study for NR mm-wave frequencies, phase noise was identified as one important factor to consider in the selection of subcarrier spacing that maximizes the achievable signal quality </w:t>
      </w:r>
      <w:r>
        <w:fldChar w:fldCharType="begin"/>
      </w:r>
      <w:r>
        <w:instrText xml:space="preserve"> REF _Ref39673732 \r \h </w:instrText>
      </w:r>
      <w:r>
        <w:fldChar w:fldCharType="separate"/>
      </w:r>
      <w:r w:rsidR="00BE31F7">
        <w:t>[14]</w:t>
      </w:r>
      <w:r>
        <w:fldChar w:fldCharType="end"/>
      </w:r>
      <w:r>
        <w:t xml:space="preserve">. Since phase noise generally increases by 6 dB when carrier frequency doubles, impacts of phase noise on NR operations in the 52.6 – 71 GHz range can be expected to be more pronounced than those on NR operations in the FR2. The presence of phase noise can cause two types of impairments to an OFDM signal: (1) a common random phase rotation </w:t>
      </w:r>
      <w:r w:rsidR="003761E1">
        <w:t xml:space="preserve">(same </w:t>
      </w:r>
      <w:r>
        <w:t>on each subcarrier</w:t>
      </w:r>
      <w:r w:rsidR="003761E1">
        <w:t>)</w:t>
      </w:r>
      <w:r>
        <w:t xml:space="preserve">; and (2) inter-carrier interference between subcarriers. </w:t>
      </w:r>
    </w:p>
    <w:p w14:paraId="23D6E845" w14:textId="1AA6DD37" w:rsidR="003A1A3C" w:rsidRDefault="003A1A3C" w:rsidP="00DA4FF0">
      <w:pPr>
        <w:pStyle w:val="BodyText"/>
      </w:pPr>
      <w:r>
        <w:t xml:space="preserve">In this section, we first provide </w:t>
      </w:r>
      <w:r w:rsidR="00864B3E">
        <w:t xml:space="preserve">extensive comparison between the TR 38.803 Ex 2 models that have been used by RAN1 discussion </w:t>
      </w:r>
      <w:r w:rsidR="008249C9">
        <w:t xml:space="preserve">so far and the new phase noise models proposed in RAN4. </w:t>
      </w:r>
      <w:r w:rsidR="005F29AA">
        <w:t xml:space="preserve">We provide qualitative </w:t>
      </w:r>
      <w:r w:rsidR="00185EA2">
        <w:t>observation</w:t>
      </w:r>
      <w:r w:rsidR="00876BA4">
        <w:t xml:space="preserve"> of the differences, analytical calculation of the implied </w:t>
      </w:r>
      <w:r w:rsidR="000E0845">
        <w:t xml:space="preserve">phase noise </w:t>
      </w:r>
      <w:r w:rsidR="00D7218A">
        <w:t>interference</w:t>
      </w:r>
      <w:r w:rsidR="00172A06">
        <w:t>, and extension link evaluation results</w:t>
      </w:r>
      <w:r w:rsidR="00BD4EC0">
        <w:t xml:space="preserve"> </w:t>
      </w:r>
      <w:r w:rsidR="001C0FB7">
        <w:t>for the different phase noi</w:t>
      </w:r>
      <w:r w:rsidR="008B0B58">
        <w:t>se models.</w:t>
      </w:r>
    </w:p>
    <w:p w14:paraId="0EFA08B0" w14:textId="0DCD2234" w:rsidR="008B0B58" w:rsidRDefault="008B0B58" w:rsidP="00DA4FF0">
      <w:pPr>
        <w:pStyle w:val="BodyText"/>
      </w:pPr>
      <w:r>
        <w:t xml:space="preserve">We then provide and show inter-subcarrier interference (ICI) </w:t>
      </w:r>
      <w:r w:rsidR="00966B24">
        <w:t>caused by phase noise</w:t>
      </w:r>
      <w:r w:rsidR="00FE26AD">
        <w:t xml:space="preserve">s can be </w:t>
      </w:r>
      <w:r w:rsidR="00C661E6">
        <w:t>effectively mitigated by simple algorithm using the existing Rel-15 PT-RS structure.</w:t>
      </w:r>
    </w:p>
    <w:p w14:paraId="0C31A590" w14:textId="604FEB0F" w:rsidR="00664378" w:rsidRDefault="00436129" w:rsidP="00DA4FF0">
      <w:pPr>
        <w:pStyle w:val="BodyText"/>
      </w:pPr>
      <w:r>
        <w:t xml:space="preserve">Finally, we present a summary of the extensive link evaluation results </w:t>
      </w:r>
      <w:r w:rsidR="007F23A8">
        <w:t xml:space="preserve">contained in </w:t>
      </w:r>
      <w:r w:rsidR="00AA099E">
        <w:fldChar w:fldCharType="begin"/>
      </w:r>
      <w:r w:rsidR="00AA099E">
        <w:instrText xml:space="preserve"> REF _Ref53396159 \r \h </w:instrText>
      </w:r>
      <w:r w:rsidR="00AA099E">
        <w:fldChar w:fldCharType="separate"/>
      </w:r>
      <w:r w:rsidR="00BE31F7">
        <w:t>[7]</w:t>
      </w:r>
      <w:r w:rsidR="00AA099E">
        <w:fldChar w:fldCharType="end"/>
      </w:r>
      <w:r w:rsidR="007F23A8">
        <w:t xml:space="preserve"> according to the RAN1 agreed link evaluation </w:t>
      </w:r>
      <w:r w:rsidR="006076B7">
        <w:t>procedure</w:t>
      </w:r>
      <w:r w:rsidR="00AA099E">
        <w:t>s and parameters.</w:t>
      </w:r>
    </w:p>
    <w:p w14:paraId="59999DA6" w14:textId="77CA448F" w:rsidR="00DD01DF" w:rsidRDefault="00812499" w:rsidP="00DD01DF">
      <w:pPr>
        <w:pStyle w:val="Heading3"/>
      </w:pPr>
      <w:bookmarkStart w:id="106" w:name="_Toc53775893"/>
      <w:r>
        <w:t>3.</w:t>
      </w:r>
      <w:r w:rsidR="00A7546B">
        <w:t>3</w:t>
      </w:r>
      <w:r>
        <w:t>.1</w:t>
      </w:r>
      <w:r>
        <w:tab/>
      </w:r>
      <w:r w:rsidR="00F61D35">
        <w:t>Impact of different p</w:t>
      </w:r>
      <w:r w:rsidR="00DD01DF">
        <w:t>hase noise model</w:t>
      </w:r>
      <w:r w:rsidR="00F61D35">
        <w:t>s</w:t>
      </w:r>
      <w:bookmarkEnd w:id="106"/>
    </w:p>
    <w:p w14:paraId="51FB4690" w14:textId="6A55D429" w:rsidR="0098377F" w:rsidRDefault="00417092" w:rsidP="00CC59B9">
      <w:pPr>
        <w:pStyle w:val="BodyText"/>
        <w:rPr>
          <w:noProof/>
        </w:rPr>
      </w:pPr>
      <w:r>
        <w:rPr>
          <w:noProof/>
        </w:rPr>
        <w:t xml:space="preserve">In response to RAN1 LS, </w:t>
      </w:r>
      <w:r w:rsidR="00C10C79">
        <w:rPr>
          <w:noProof/>
        </w:rPr>
        <w:t xml:space="preserve">new phase noise models </w:t>
      </w:r>
      <w:r w:rsidR="0098377F">
        <w:rPr>
          <w:noProof/>
        </w:rPr>
        <w:t xml:space="preserve">have been </w:t>
      </w:r>
      <w:r w:rsidR="00BE607B">
        <w:rPr>
          <w:noProof/>
        </w:rPr>
        <w:t>proposed</w:t>
      </w:r>
      <w:r w:rsidR="00B50646">
        <w:rPr>
          <w:noProof/>
        </w:rPr>
        <w:t xml:space="preserve"> in RAN4:</w:t>
      </w:r>
    </w:p>
    <w:p w14:paraId="684A5565" w14:textId="7CE8E742" w:rsidR="00B50646" w:rsidRPr="004F69A1" w:rsidRDefault="002C33A0" w:rsidP="00B50646">
      <w:pPr>
        <w:pStyle w:val="BodyText"/>
        <w:numPr>
          <w:ilvl w:val="0"/>
          <w:numId w:val="78"/>
        </w:numPr>
        <w:rPr>
          <w:noProof/>
        </w:rPr>
      </w:pPr>
      <w:r>
        <w:rPr>
          <w:noProof/>
        </w:rPr>
        <w:t xml:space="preserve">The models for both UE and BS </w:t>
      </w:r>
      <w:r w:rsidR="00F65806">
        <w:rPr>
          <w:noProof/>
        </w:rPr>
        <w:t xml:space="preserve">proposed in </w:t>
      </w:r>
      <w:r w:rsidR="00F65806">
        <w:rPr>
          <w:rFonts w:cs="Arial"/>
        </w:rPr>
        <w:t>[18] are based on survey</w:t>
      </w:r>
      <w:r w:rsidR="00E200E0">
        <w:rPr>
          <w:rFonts w:cs="Arial"/>
        </w:rPr>
        <w:t>ing</w:t>
      </w:r>
      <w:r w:rsidR="00F65806">
        <w:rPr>
          <w:rFonts w:cs="Arial"/>
        </w:rPr>
        <w:t xml:space="preserve"> </w:t>
      </w:r>
      <w:r w:rsidR="00446DDC" w:rsidRPr="00446DDC">
        <w:rPr>
          <w:rFonts w:cs="Arial"/>
        </w:rPr>
        <w:t>recently published data on both state-of-the-art PLL and crystal oscillators that lead to an improved model representing the current technology envelope</w:t>
      </w:r>
      <w:r w:rsidR="001C2A12">
        <w:rPr>
          <w:rFonts w:cs="Arial"/>
        </w:rPr>
        <w:t>.</w:t>
      </w:r>
    </w:p>
    <w:p w14:paraId="3CC5006E" w14:textId="2DA7B483" w:rsidR="001C2A12" w:rsidRDefault="001C2A12" w:rsidP="004F69A1">
      <w:pPr>
        <w:pStyle w:val="BodyText"/>
        <w:numPr>
          <w:ilvl w:val="0"/>
          <w:numId w:val="78"/>
        </w:numPr>
        <w:rPr>
          <w:noProof/>
        </w:rPr>
      </w:pPr>
      <w:r>
        <w:rPr>
          <w:rFonts w:cs="Arial"/>
        </w:rPr>
        <w:t xml:space="preserve">The model for UE proposed in [19] is based on </w:t>
      </w:r>
      <w:r w:rsidR="006313FE" w:rsidRPr="006313FE">
        <w:rPr>
          <w:rFonts w:cs="Arial"/>
        </w:rPr>
        <w:t>measurements/simulation on 70</w:t>
      </w:r>
      <w:r w:rsidR="006313FE">
        <w:rPr>
          <w:rFonts w:cs="Arial"/>
        </w:rPr>
        <w:t xml:space="preserve"> </w:t>
      </w:r>
      <w:r w:rsidR="006313FE" w:rsidRPr="006313FE">
        <w:rPr>
          <w:rFonts w:cs="Arial"/>
        </w:rPr>
        <w:t>GHz UE PLL</w:t>
      </w:r>
      <w:r w:rsidR="006313FE">
        <w:rPr>
          <w:rFonts w:cs="Arial"/>
        </w:rPr>
        <w:t>.</w:t>
      </w:r>
    </w:p>
    <w:p w14:paraId="2DB3F817" w14:textId="2E1A6FEC" w:rsidR="00885BB9" w:rsidRDefault="002D437D" w:rsidP="00CC59B9">
      <w:pPr>
        <w:pStyle w:val="BodyText"/>
        <w:rPr>
          <w:noProof/>
        </w:rPr>
      </w:pPr>
      <w:r>
        <w:rPr>
          <w:noProof/>
        </w:rPr>
        <w:t xml:space="preserve">In </w:t>
      </w:r>
      <w:r w:rsidR="002A2E77">
        <w:rPr>
          <w:noProof/>
        </w:rPr>
        <w:fldChar w:fldCharType="begin"/>
      </w:r>
      <w:r w:rsidR="002A2E77">
        <w:rPr>
          <w:noProof/>
        </w:rPr>
        <w:instrText xml:space="preserve"> REF _Ref53142132 \h </w:instrText>
      </w:r>
      <w:r w:rsidR="002A2E77">
        <w:rPr>
          <w:noProof/>
        </w:rPr>
      </w:r>
      <w:r w:rsidR="002A2E77">
        <w:rPr>
          <w:noProof/>
        </w:rPr>
        <w:fldChar w:fldCharType="separate"/>
      </w:r>
      <w:r w:rsidR="00BE31F7" w:rsidRPr="00AA6731">
        <w:rPr>
          <w:rFonts w:cs="Arial"/>
        </w:rPr>
        <w:t xml:space="preserve">Figure </w:t>
      </w:r>
      <w:r w:rsidR="00BE31F7">
        <w:rPr>
          <w:rFonts w:asciiTheme="minorBidi" w:hAnsiTheme="minorBidi" w:cstheme="minorBidi"/>
          <w:noProof/>
        </w:rPr>
        <w:t>16</w:t>
      </w:r>
      <w:r w:rsidR="002A2E77">
        <w:rPr>
          <w:noProof/>
        </w:rPr>
        <w:fldChar w:fldCharType="end"/>
      </w:r>
      <w:r>
        <w:rPr>
          <w:noProof/>
        </w:rPr>
        <w:t>,</w:t>
      </w:r>
      <w:r w:rsidR="002A2E77">
        <w:rPr>
          <w:noProof/>
        </w:rPr>
        <w:t xml:space="preserve"> we plot the </w:t>
      </w:r>
      <w:r w:rsidR="00203A2D">
        <w:rPr>
          <w:noProof/>
        </w:rPr>
        <w:t xml:space="preserve">TR 38.803 Ex 2 </w:t>
      </w:r>
      <w:r w:rsidR="00EA13FD">
        <w:rPr>
          <w:noProof/>
        </w:rPr>
        <w:t>models on the left and the new models</w:t>
      </w:r>
      <w:r w:rsidR="000A3F57">
        <w:rPr>
          <w:noProof/>
        </w:rPr>
        <w:t xml:space="preserve"> on the right. </w:t>
      </w:r>
      <w:r w:rsidR="00AD7886">
        <w:rPr>
          <w:noProof/>
        </w:rPr>
        <w:t>Several high-level qualitative differences can be immiedately observed:</w:t>
      </w:r>
    </w:p>
    <w:p w14:paraId="78C8AE09" w14:textId="479F3E36" w:rsidR="00F71964" w:rsidRDefault="00151DF7" w:rsidP="002D570D">
      <w:pPr>
        <w:pStyle w:val="BodyText"/>
        <w:numPr>
          <w:ilvl w:val="0"/>
          <w:numId w:val="77"/>
        </w:numPr>
        <w:rPr>
          <w:noProof/>
        </w:rPr>
      </w:pPr>
      <w:r>
        <w:rPr>
          <w:noProof/>
        </w:rPr>
        <w:t>Ex 2 models exhibit sudden discont</w:t>
      </w:r>
      <w:r w:rsidR="003E31A7">
        <w:rPr>
          <w:noProof/>
        </w:rPr>
        <w:t>inous</w:t>
      </w:r>
      <w:r w:rsidR="00C67FF1" w:rsidRPr="00C67FF1">
        <w:rPr>
          <w:noProof/>
        </w:rPr>
        <w:t xml:space="preserve"> change</w:t>
      </w:r>
      <w:r w:rsidR="00F752D8">
        <w:rPr>
          <w:noProof/>
        </w:rPr>
        <w:t>s</w:t>
      </w:r>
      <w:r w:rsidR="00C67FF1" w:rsidRPr="00C67FF1">
        <w:rPr>
          <w:noProof/>
        </w:rPr>
        <w:t xml:space="preserve"> of slope</w:t>
      </w:r>
      <w:r w:rsidR="003E31A7">
        <w:rPr>
          <w:noProof/>
        </w:rPr>
        <w:t>s</w:t>
      </w:r>
      <w:r w:rsidR="00DC4F3E">
        <w:rPr>
          <w:noProof/>
        </w:rPr>
        <w:t xml:space="preserve"> </w:t>
      </w:r>
      <w:r w:rsidR="00C72A1C">
        <w:rPr>
          <w:noProof/>
        </w:rPr>
        <w:t>around 100 kHz frequency offsets.</w:t>
      </w:r>
      <w:r w:rsidR="00584CEF" w:rsidRPr="00584CEF">
        <w:rPr>
          <w:noProof/>
        </w:rPr>
        <w:t xml:space="preserve"> </w:t>
      </w:r>
      <w:r w:rsidR="00584CEF" w:rsidRPr="00C67FF1">
        <w:rPr>
          <w:noProof/>
        </w:rPr>
        <w:t xml:space="preserve">The PLL phase noise is a linear combination of multiple weighted and filtered noise sources. The transfer function of these filters can be represented by rational polynomials in the frequency domain and are smooth, with no discontinuity in the derivative. Thus, the behavior seen in the first set of models is not a realistic representation of </w:t>
      </w:r>
      <w:r w:rsidR="008A26D3">
        <w:rPr>
          <w:noProof/>
        </w:rPr>
        <w:t>an</w:t>
      </w:r>
      <w:r w:rsidR="00584CEF" w:rsidRPr="00C67FF1">
        <w:rPr>
          <w:noProof/>
        </w:rPr>
        <w:t xml:space="preserve"> actual physical system</w:t>
      </w:r>
      <w:r w:rsidR="00584CEF">
        <w:rPr>
          <w:noProof/>
        </w:rPr>
        <w:t>.</w:t>
      </w:r>
    </w:p>
    <w:p w14:paraId="3533E09E" w14:textId="635B70F3" w:rsidR="00E4177B" w:rsidRDefault="00E4177B" w:rsidP="00517353">
      <w:pPr>
        <w:pStyle w:val="BodyText"/>
        <w:ind w:left="720"/>
        <w:rPr>
          <w:noProof/>
        </w:rPr>
      </w:pPr>
      <w:r>
        <w:rPr>
          <w:noProof/>
        </w:rPr>
        <w:t xml:space="preserve">New phase noise models </w:t>
      </w:r>
      <w:r w:rsidR="00457C94">
        <w:rPr>
          <w:noProof/>
        </w:rPr>
        <w:t xml:space="preserve">proposed </w:t>
      </w:r>
      <w:r w:rsidR="00CF00A2">
        <w:rPr>
          <w:noProof/>
        </w:rPr>
        <w:t xml:space="preserve">in </w:t>
      </w:r>
      <w:r w:rsidR="00CF00A2" w:rsidRPr="00527585">
        <w:rPr>
          <w:rFonts w:cs="Arial"/>
        </w:rPr>
        <w:fldChar w:fldCharType="begin"/>
      </w:r>
      <w:r w:rsidR="00CF00A2" w:rsidRPr="00527585">
        <w:rPr>
          <w:rFonts w:cs="Arial"/>
        </w:rPr>
        <w:instrText xml:space="preserve"> REF _Ref53393318 \r \h </w:instrText>
      </w:r>
      <w:r w:rsidR="00CF00A2" w:rsidRPr="00527585">
        <w:rPr>
          <w:rFonts w:cs="Arial"/>
        </w:rPr>
      </w:r>
      <w:r w:rsidR="00CF00A2" w:rsidRPr="00527585">
        <w:rPr>
          <w:rFonts w:cs="Arial"/>
        </w:rPr>
        <w:fldChar w:fldCharType="separate"/>
      </w:r>
      <w:r w:rsidR="00BE31F7">
        <w:rPr>
          <w:rFonts w:cs="Arial"/>
        </w:rPr>
        <w:t>[19]</w:t>
      </w:r>
      <w:r w:rsidR="00CF00A2" w:rsidRPr="00527585">
        <w:rPr>
          <w:rFonts w:cs="Arial"/>
        </w:rPr>
        <w:fldChar w:fldCharType="end"/>
      </w:r>
      <w:r w:rsidR="00CF00A2" w:rsidRPr="00527585">
        <w:rPr>
          <w:rFonts w:cs="Arial"/>
        </w:rPr>
        <w:fldChar w:fldCharType="begin"/>
      </w:r>
      <w:r w:rsidR="00CF00A2" w:rsidRPr="00527585">
        <w:rPr>
          <w:rFonts w:cs="Arial"/>
        </w:rPr>
        <w:instrText xml:space="preserve"> REF _Ref53393325 \r \h </w:instrText>
      </w:r>
      <w:r w:rsidR="00CF00A2" w:rsidRPr="00527585">
        <w:rPr>
          <w:rFonts w:cs="Arial"/>
        </w:rPr>
      </w:r>
      <w:r w:rsidR="00CF00A2" w:rsidRPr="00527585">
        <w:rPr>
          <w:rFonts w:cs="Arial"/>
        </w:rPr>
        <w:fldChar w:fldCharType="separate"/>
      </w:r>
      <w:r w:rsidR="00BE31F7">
        <w:rPr>
          <w:rFonts w:cs="Arial"/>
        </w:rPr>
        <w:t>[20]</w:t>
      </w:r>
      <w:r w:rsidR="00CF00A2" w:rsidRPr="00527585">
        <w:rPr>
          <w:rFonts w:cs="Arial"/>
        </w:rPr>
        <w:fldChar w:fldCharType="end"/>
      </w:r>
      <w:r w:rsidR="00CF00A2">
        <w:rPr>
          <w:rFonts w:cs="Arial"/>
        </w:rPr>
        <w:t xml:space="preserve"> do not have such </w:t>
      </w:r>
      <w:r w:rsidR="001D19BE">
        <w:rPr>
          <w:rFonts w:cs="Arial"/>
        </w:rPr>
        <w:t>unphysical characteristics.</w:t>
      </w:r>
    </w:p>
    <w:p w14:paraId="641319F4" w14:textId="43FD3A82" w:rsidR="00B42353" w:rsidRDefault="007F0176" w:rsidP="002D570D">
      <w:pPr>
        <w:pStyle w:val="BodyText"/>
        <w:numPr>
          <w:ilvl w:val="0"/>
          <w:numId w:val="77"/>
        </w:numPr>
        <w:rPr>
          <w:noProof/>
        </w:rPr>
      </w:pPr>
      <w:r>
        <w:rPr>
          <w:noProof/>
        </w:rPr>
        <w:t xml:space="preserve">Ex 2 models exhibit </w:t>
      </w:r>
      <w:r w:rsidR="00E90B1C">
        <w:rPr>
          <w:noProof/>
        </w:rPr>
        <w:t>steep slope</w:t>
      </w:r>
      <w:r w:rsidR="00AF0D4F">
        <w:rPr>
          <w:noProof/>
        </w:rPr>
        <w:t>s</w:t>
      </w:r>
      <w:r w:rsidR="00E90B1C">
        <w:rPr>
          <w:noProof/>
        </w:rPr>
        <w:t xml:space="preserve"> in the 100 kHz to 1 MHz </w:t>
      </w:r>
      <w:r w:rsidR="007E1EE1">
        <w:rPr>
          <w:noProof/>
        </w:rPr>
        <w:t xml:space="preserve">frequency offset range. </w:t>
      </w:r>
      <w:r w:rsidR="0060332E">
        <w:rPr>
          <w:noProof/>
        </w:rPr>
        <w:t xml:space="preserve">Since the </w:t>
      </w:r>
      <w:r w:rsidR="003B52FC">
        <w:rPr>
          <w:noProof/>
        </w:rPr>
        <w:t>subcarrier spacings under discussion for NR operations in 52.6 – 71 GHz fall in this region</w:t>
      </w:r>
      <w:r w:rsidR="00267D56">
        <w:rPr>
          <w:noProof/>
        </w:rPr>
        <w:t xml:space="preserve">, </w:t>
      </w:r>
      <w:r w:rsidR="005E277B">
        <w:rPr>
          <w:noProof/>
        </w:rPr>
        <w:t xml:space="preserve">Ex 2 models </w:t>
      </w:r>
      <w:r w:rsidR="003171C0">
        <w:rPr>
          <w:noProof/>
        </w:rPr>
        <w:t xml:space="preserve">imply that, </w:t>
      </w:r>
      <w:r w:rsidR="003171C0" w:rsidRPr="00B42353">
        <w:rPr>
          <w:noProof/>
        </w:rPr>
        <w:t xml:space="preserve">as the </w:t>
      </w:r>
      <w:r w:rsidR="003171C0">
        <w:rPr>
          <w:noProof/>
        </w:rPr>
        <w:t xml:space="preserve">subcarrier spacing </w:t>
      </w:r>
      <w:r w:rsidR="003171C0" w:rsidRPr="00B42353">
        <w:rPr>
          <w:noProof/>
        </w:rPr>
        <w:t>increases</w:t>
      </w:r>
      <w:r w:rsidR="003171C0">
        <w:rPr>
          <w:noProof/>
        </w:rPr>
        <w:t>,</w:t>
      </w:r>
      <w:r w:rsidR="003171C0" w:rsidRPr="00B42353">
        <w:rPr>
          <w:noProof/>
        </w:rPr>
        <w:t xml:space="preserve"> the phase noise contribution reduces rapidly</w:t>
      </w:r>
      <w:r w:rsidR="00EE4C11">
        <w:rPr>
          <w:noProof/>
        </w:rPr>
        <w:t>.</w:t>
      </w:r>
    </w:p>
    <w:p w14:paraId="0A7A229B" w14:textId="4040C115" w:rsidR="00BF1DB2" w:rsidRDefault="00BF1DB2" w:rsidP="004F69A1">
      <w:pPr>
        <w:pStyle w:val="BodyText"/>
        <w:ind w:left="720"/>
        <w:rPr>
          <w:noProof/>
        </w:rPr>
      </w:pPr>
      <w:r>
        <w:rPr>
          <w:noProof/>
        </w:rPr>
        <w:t xml:space="preserve">On the other hand, for the new phase noise models, </w:t>
      </w:r>
      <w:r w:rsidR="00EE681E">
        <w:rPr>
          <w:noProof/>
        </w:rPr>
        <w:t xml:space="preserve">shallow or flat slopes over the same freqeuncy offset range can be observed. </w:t>
      </w:r>
      <w:r w:rsidR="00B854AD">
        <w:rPr>
          <w:noProof/>
        </w:rPr>
        <w:t>That</w:t>
      </w:r>
      <w:r w:rsidR="00F4674A">
        <w:rPr>
          <w:noProof/>
        </w:rPr>
        <w:t xml:space="preserve"> is, the </w:t>
      </w:r>
      <w:r w:rsidR="00FE7FA6">
        <w:rPr>
          <w:noProof/>
        </w:rPr>
        <w:t xml:space="preserve">new phase noise models imply </w:t>
      </w:r>
      <w:r w:rsidR="00DD6BD4">
        <w:rPr>
          <w:noProof/>
        </w:rPr>
        <w:t xml:space="preserve">the </w:t>
      </w:r>
      <w:r w:rsidR="00625A6A">
        <w:rPr>
          <w:noProof/>
        </w:rPr>
        <w:t xml:space="preserve">phase noise </w:t>
      </w:r>
      <w:r w:rsidR="003C650D">
        <w:rPr>
          <w:noProof/>
        </w:rPr>
        <w:t xml:space="preserve">impairment </w:t>
      </w:r>
      <w:r w:rsidR="00AE32D6">
        <w:rPr>
          <w:noProof/>
        </w:rPr>
        <w:t xml:space="preserve">to the signal is relatively insensitive to the </w:t>
      </w:r>
      <w:r w:rsidR="002C07F1">
        <w:rPr>
          <w:noProof/>
        </w:rPr>
        <w:t>subcarrier spacing size</w:t>
      </w:r>
      <w:r w:rsidR="00511C45">
        <w:rPr>
          <w:noProof/>
        </w:rPr>
        <w:t>s</w:t>
      </w:r>
      <w:r w:rsidR="002C07F1">
        <w:rPr>
          <w:noProof/>
        </w:rPr>
        <w:t>.</w:t>
      </w:r>
    </w:p>
    <w:p w14:paraId="2FBFE1A0" w14:textId="6227E1F2" w:rsidR="00D06D0E" w:rsidRDefault="00D06D0E" w:rsidP="00D06D0E">
      <w:pPr>
        <w:pStyle w:val="BodyText"/>
        <w:rPr>
          <w:noProof/>
        </w:rPr>
      </w:pPr>
      <w:r w:rsidRPr="006B5DE5">
        <w:rPr>
          <w:noProof/>
        </w:rPr>
        <w:t xml:space="preserve">Further details </w:t>
      </w:r>
      <w:r w:rsidR="00EC0228">
        <w:rPr>
          <w:noProof/>
        </w:rPr>
        <w:t xml:space="preserve">and analysis can be found </w:t>
      </w:r>
      <w:r w:rsidRPr="006B5DE5">
        <w:rPr>
          <w:noProof/>
        </w:rPr>
        <w:t>in coming RAN4 contribution</w:t>
      </w:r>
      <w:r>
        <w:rPr>
          <w:noProof/>
        </w:rPr>
        <w:t xml:space="preserve"> </w:t>
      </w:r>
      <w:r>
        <w:rPr>
          <w:noProof/>
        </w:rPr>
        <w:fldChar w:fldCharType="begin"/>
      </w:r>
      <w:r>
        <w:rPr>
          <w:noProof/>
        </w:rPr>
        <w:instrText xml:space="preserve"> REF _Ref53395851 \r \h </w:instrText>
      </w:r>
      <w:r>
        <w:rPr>
          <w:noProof/>
        </w:rPr>
      </w:r>
      <w:r>
        <w:rPr>
          <w:noProof/>
        </w:rPr>
        <w:fldChar w:fldCharType="separate"/>
      </w:r>
      <w:r w:rsidR="00BE31F7">
        <w:rPr>
          <w:noProof/>
        </w:rPr>
        <w:t>[18]</w:t>
      </w:r>
      <w:r>
        <w:rPr>
          <w:noProof/>
        </w:rPr>
        <w:fldChar w:fldCharType="end"/>
      </w:r>
      <w:r>
        <w:rPr>
          <w:noProof/>
        </w:rPr>
        <w:t>.</w:t>
      </w:r>
    </w:p>
    <w:p w14:paraId="78E2B4F5" w14:textId="77777777" w:rsidR="00D70DA5" w:rsidRDefault="00D70DA5" w:rsidP="00D06D0E">
      <w:pPr>
        <w:pStyle w:val="BodyText"/>
        <w:rPr>
          <w:noProof/>
        </w:rPr>
      </w:pPr>
    </w:p>
    <w:p w14:paraId="4649D5E6" w14:textId="592F2DEC" w:rsidR="00CC59B9" w:rsidRDefault="00CC59B9" w:rsidP="00CC59B9">
      <w:pPr>
        <w:pStyle w:val="BodyText"/>
        <w:jc w:val="center"/>
      </w:pPr>
      <w:r>
        <w:rPr>
          <w:noProof/>
        </w:rPr>
        <w:lastRenderedPageBreak/>
        <w:drawing>
          <wp:inline distT="0" distB="0" distL="0" distR="0" wp14:anchorId="3870A8E1" wp14:editId="3459BAF0">
            <wp:extent cx="3017520" cy="25603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30">
                      <a:extLst>
                        <a:ext uri="{28A0092B-C50C-407E-A947-70E740481C1C}">
                          <a14:useLocalDpi xmlns:a14="http://schemas.microsoft.com/office/drawing/2010/main" val="0"/>
                        </a:ext>
                      </a:extLst>
                    </a:blip>
                    <a:srcRect l="3099" r="8820"/>
                    <a:stretch>
                      <a:fillRect/>
                    </a:stretch>
                  </pic:blipFill>
                  <pic:spPr>
                    <a:xfrm>
                      <a:off x="0" y="0"/>
                      <a:ext cx="3017520" cy="2560320"/>
                    </a:xfrm>
                    <a:prstGeom prst="rect">
                      <a:avLst/>
                    </a:prstGeom>
                  </pic:spPr>
                </pic:pic>
              </a:graphicData>
            </a:graphic>
          </wp:inline>
        </w:drawing>
      </w:r>
      <w:r>
        <w:t xml:space="preserve"> </w:t>
      </w:r>
      <w:r>
        <w:rPr>
          <w:noProof/>
        </w:rPr>
        <w:drawing>
          <wp:inline distT="0" distB="0" distL="0" distR="0" wp14:anchorId="43F88DCA" wp14:editId="61FAA1C8">
            <wp:extent cx="2898648" cy="25603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31">
                      <a:extLst>
                        <a:ext uri="{28A0092B-C50C-407E-A947-70E740481C1C}">
                          <a14:useLocalDpi xmlns:a14="http://schemas.microsoft.com/office/drawing/2010/main" val="0"/>
                        </a:ext>
                      </a:extLst>
                    </a:blip>
                    <a:srcRect l="6556" r="8582"/>
                    <a:stretch>
                      <a:fillRect/>
                    </a:stretch>
                  </pic:blipFill>
                  <pic:spPr>
                    <a:xfrm>
                      <a:off x="0" y="0"/>
                      <a:ext cx="2898648" cy="2560320"/>
                    </a:xfrm>
                    <a:prstGeom prst="rect">
                      <a:avLst/>
                    </a:prstGeom>
                  </pic:spPr>
                </pic:pic>
              </a:graphicData>
            </a:graphic>
          </wp:inline>
        </w:drawing>
      </w:r>
    </w:p>
    <w:p w14:paraId="199FBF6F" w14:textId="71D2BACA" w:rsidR="00CC59B9" w:rsidRDefault="00CC59B9" w:rsidP="00CC59B9">
      <w:pPr>
        <w:pStyle w:val="Caption"/>
        <w:jc w:val="both"/>
        <w:rPr>
          <w:rFonts w:ascii="Arial" w:hAnsi="Arial" w:cs="Arial"/>
        </w:rPr>
      </w:pPr>
      <w:bookmarkStart w:id="107" w:name="_Ref53142132"/>
      <w:r w:rsidRPr="00AA6731">
        <w:rPr>
          <w:rFonts w:ascii="Arial" w:hAnsi="Arial" w:cs="Arial"/>
        </w:rPr>
        <w:t xml:space="preserve">Figure </w:t>
      </w:r>
      <w:r w:rsidRPr="003B0557">
        <w:rPr>
          <w:rFonts w:ascii="Arial" w:hAnsi="Arial" w:cs="Arial"/>
        </w:rPr>
        <w:fldChar w:fldCharType="begin"/>
      </w:r>
      <w:r w:rsidRPr="00AC5D15">
        <w:rPr>
          <w:rFonts w:asciiTheme="minorBidi" w:hAnsiTheme="minorBidi" w:cstheme="minorBidi"/>
        </w:rPr>
        <w:instrText xml:space="preserve"> SEQ Figure \* ARABIC </w:instrText>
      </w:r>
      <w:r w:rsidRPr="003B0557">
        <w:rPr>
          <w:rFonts w:ascii="Arial" w:hAnsi="Arial" w:cs="Arial"/>
        </w:rPr>
        <w:fldChar w:fldCharType="separate"/>
      </w:r>
      <w:r w:rsidR="00BE31F7">
        <w:rPr>
          <w:rFonts w:asciiTheme="minorBidi" w:hAnsiTheme="minorBidi" w:cstheme="minorBidi"/>
          <w:noProof/>
        </w:rPr>
        <w:t>16</w:t>
      </w:r>
      <w:r w:rsidRPr="003B0557">
        <w:rPr>
          <w:rFonts w:ascii="Arial" w:hAnsi="Arial" w:cs="Arial"/>
        </w:rPr>
        <w:fldChar w:fldCharType="end"/>
      </w:r>
      <w:bookmarkEnd w:id="107"/>
      <w:r w:rsidRPr="00AA6731">
        <w:rPr>
          <w:rFonts w:ascii="Arial" w:hAnsi="Arial" w:cs="Arial"/>
        </w:rPr>
        <w:t>:</w:t>
      </w:r>
      <w:r>
        <w:rPr>
          <w:rFonts w:ascii="Arial" w:hAnsi="Arial" w:cs="Arial"/>
        </w:rPr>
        <w:t xml:space="preserve"> Comparison of (left) TR 38.803 Example 2 models </w:t>
      </w:r>
      <w:r>
        <w:rPr>
          <w:rFonts w:ascii="Arial" w:hAnsi="Arial" w:cs="Arial"/>
        </w:rPr>
        <w:fldChar w:fldCharType="begin"/>
      </w:r>
      <w:r>
        <w:rPr>
          <w:rFonts w:ascii="Arial" w:hAnsi="Arial" w:cs="Arial"/>
        </w:rPr>
        <w:instrText xml:space="preserve"> REF _Ref39673732 \r \h </w:instrText>
      </w:r>
      <w:r>
        <w:rPr>
          <w:rFonts w:ascii="Arial" w:hAnsi="Arial" w:cs="Arial"/>
        </w:rPr>
      </w:r>
      <w:r>
        <w:rPr>
          <w:rFonts w:ascii="Arial" w:hAnsi="Arial" w:cs="Arial"/>
        </w:rPr>
        <w:fldChar w:fldCharType="separate"/>
      </w:r>
      <w:r w:rsidR="00BE31F7">
        <w:rPr>
          <w:rFonts w:ascii="Arial" w:hAnsi="Arial" w:cs="Arial"/>
        </w:rPr>
        <w:t>[14]</w:t>
      </w:r>
      <w:r>
        <w:rPr>
          <w:rFonts w:ascii="Arial" w:hAnsi="Arial" w:cs="Arial"/>
        </w:rPr>
        <w:fldChar w:fldCharType="end"/>
      </w:r>
      <w:r>
        <w:rPr>
          <w:rFonts w:ascii="Arial" w:hAnsi="Arial" w:cs="Arial"/>
        </w:rPr>
        <w:t xml:space="preserve"> and (right) new model proposals in RAN4</w:t>
      </w:r>
      <w:r w:rsidR="00527585">
        <w:rPr>
          <w:rFonts w:ascii="Arial" w:hAnsi="Arial" w:cs="Arial"/>
        </w:rPr>
        <w:t xml:space="preserve"> </w:t>
      </w:r>
      <w:r w:rsidR="00527585" w:rsidRPr="00527585">
        <w:rPr>
          <w:rFonts w:ascii="Arial" w:hAnsi="Arial" w:cs="Arial"/>
        </w:rPr>
        <w:fldChar w:fldCharType="begin"/>
      </w:r>
      <w:r w:rsidR="00527585" w:rsidRPr="00527585">
        <w:rPr>
          <w:rFonts w:ascii="Arial" w:hAnsi="Arial" w:cs="Arial"/>
        </w:rPr>
        <w:instrText xml:space="preserve"> REF _Ref53393318 \r \h </w:instrText>
      </w:r>
      <w:r w:rsidR="00527585" w:rsidRPr="00527585">
        <w:rPr>
          <w:rFonts w:ascii="Arial" w:hAnsi="Arial" w:cs="Arial"/>
        </w:rPr>
      </w:r>
      <w:r w:rsidR="00527585" w:rsidRPr="00527585">
        <w:rPr>
          <w:rFonts w:ascii="Arial" w:hAnsi="Arial" w:cs="Arial"/>
        </w:rPr>
        <w:fldChar w:fldCharType="separate"/>
      </w:r>
      <w:r w:rsidR="00BE31F7">
        <w:rPr>
          <w:rFonts w:ascii="Arial" w:hAnsi="Arial" w:cs="Arial"/>
        </w:rPr>
        <w:t>[19]</w:t>
      </w:r>
      <w:r w:rsidR="00527585" w:rsidRPr="00527585">
        <w:rPr>
          <w:rFonts w:ascii="Arial" w:hAnsi="Arial" w:cs="Arial"/>
        </w:rPr>
        <w:fldChar w:fldCharType="end"/>
      </w:r>
      <w:r w:rsidR="00527585" w:rsidRPr="00527585">
        <w:rPr>
          <w:rFonts w:ascii="Arial" w:hAnsi="Arial" w:cs="Arial"/>
        </w:rPr>
        <w:fldChar w:fldCharType="begin"/>
      </w:r>
      <w:r w:rsidR="00527585" w:rsidRPr="00527585">
        <w:rPr>
          <w:rFonts w:ascii="Arial" w:hAnsi="Arial" w:cs="Arial"/>
        </w:rPr>
        <w:instrText xml:space="preserve"> REF _Ref53393325 \r \h </w:instrText>
      </w:r>
      <w:r w:rsidR="00527585" w:rsidRPr="00527585">
        <w:rPr>
          <w:rFonts w:ascii="Arial" w:hAnsi="Arial" w:cs="Arial"/>
        </w:rPr>
      </w:r>
      <w:r w:rsidR="00527585" w:rsidRPr="00527585">
        <w:rPr>
          <w:rFonts w:ascii="Arial" w:hAnsi="Arial" w:cs="Arial"/>
        </w:rPr>
        <w:fldChar w:fldCharType="separate"/>
      </w:r>
      <w:r w:rsidR="00BE31F7">
        <w:rPr>
          <w:rFonts w:ascii="Arial" w:hAnsi="Arial" w:cs="Arial"/>
        </w:rPr>
        <w:t>[20]</w:t>
      </w:r>
      <w:r w:rsidR="00527585" w:rsidRPr="00527585">
        <w:rPr>
          <w:rFonts w:ascii="Arial" w:hAnsi="Arial" w:cs="Arial"/>
        </w:rPr>
        <w:fldChar w:fldCharType="end"/>
      </w:r>
      <w:r w:rsidRPr="00AA6731">
        <w:rPr>
          <w:rFonts w:ascii="Arial" w:hAnsi="Arial" w:cs="Arial"/>
        </w:rPr>
        <w:t>.</w:t>
      </w:r>
    </w:p>
    <w:p w14:paraId="43F628D9" w14:textId="77777777" w:rsidR="00F125B5" w:rsidRDefault="00F125B5" w:rsidP="00CC59B9">
      <w:pPr>
        <w:pStyle w:val="BodyText"/>
      </w:pPr>
    </w:p>
    <w:p w14:paraId="61232826" w14:textId="14E5581A" w:rsidR="00CC59B9" w:rsidRDefault="00CC59B9" w:rsidP="00CC59B9">
      <w:pPr>
        <w:pStyle w:val="BodyText"/>
      </w:pPr>
      <w:r>
        <w:t xml:space="preserve">An analytical framework to study the interference power contributions of the common phase error (CPE) and the intercarrier interference (ICI) components is presented in </w:t>
      </w:r>
      <w:r>
        <w:fldChar w:fldCharType="begin"/>
      </w:r>
      <w:r>
        <w:instrText xml:space="preserve"> REF _Ref52547881 \r \h </w:instrText>
      </w:r>
      <w:r>
        <w:fldChar w:fldCharType="separate"/>
      </w:r>
      <w:r w:rsidR="00BE31F7">
        <w:t>[21]</w:t>
      </w:r>
      <w:r>
        <w:fldChar w:fldCharType="end"/>
      </w:r>
      <w:r>
        <w:t xml:space="preserve">. The ICI power can be obtained by integrating the phase noise power spectral density shown in </w:t>
      </w:r>
      <w:r>
        <w:fldChar w:fldCharType="begin"/>
      </w:r>
      <w:r>
        <w:instrText xml:space="preserve"> REF _Ref53142132 \h </w:instrText>
      </w:r>
      <w:r>
        <w:fldChar w:fldCharType="separate"/>
      </w:r>
      <w:r w:rsidR="00BE31F7" w:rsidRPr="00AA6731">
        <w:rPr>
          <w:rFonts w:cs="Arial"/>
        </w:rPr>
        <w:t xml:space="preserve">Figure </w:t>
      </w:r>
      <w:r w:rsidR="00BE31F7">
        <w:rPr>
          <w:rFonts w:asciiTheme="minorBidi" w:hAnsiTheme="minorBidi" w:cstheme="minorBidi"/>
          <w:noProof/>
        </w:rPr>
        <w:t>16</w:t>
      </w:r>
      <w:r>
        <w:fldChar w:fldCharType="end"/>
      </w:r>
      <w:r>
        <w:t xml:space="preserve"> with the following weighting function:</w:t>
      </w:r>
    </w:p>
    <w:p w14:paraId="1CC822DB" w14:textId="77777777" w:rsidR="00CC59B9" w:rsidRDefault="00B04ED4" w:rsidP="00CC59B9">
      <w:pPr>
        <w:pStyle w:val="BodyText"/>
      </w:pPr>
      <m:oMathPara>
        <m:oMath>
          <m:sSub>
            <m:sSubPr>
              <m:ctrlPr>
                <w:rPr>
                  <w:rFonts w:ascii="Cambria Math" w:hAnsi="Cambria Math"/>
                  <w:i/>
                </w:rPr>
              </m:ctrlPr>
            </m:sSubPr>
            <m:e>
              <m:r>
                <w:rPr>
                  <w:rFonts w:ascii="Cambria Math" w:hAnsi="Cambria Math"/>
                </w:rPr>
                <m:t>W</m:t>
              </m:r>
            </m:e>
            <m:sub>
              <m:r>
                <m:rPr>
                  <m:sty m:val="p"/>
                </m:rPr>
                <w:rPr>
                  <w:rFonts w:ascii="Cambria Math" w:hAnsi="Cambria Math"/>
                </w:rPr>
                <m:t>ICI</m:t>
              </m:r>
            </m:sub>
          </m:sSub>
          <m:d>
            <m:dPr>
              <m:ctrlPr>
                <w:rPr>
                  <w:rFonts w:ascii="Cambria Math" w:hAnsi="Cambria Math"/>
                  <w:i/>
                </w:rPr>
              </m:ctrlPr>
            </m:dPr>
            <m:e>
              <m:r>
                <w:rPr>
                  <w:rFonts w:ascii="Cambria Math" w:hAnsi="Cambria Math"/>
                </w:rPr>
                <m:t>f</m:t>
              </m:r>
            </m:e>
          </m:d>
          <m:r>
            <w:rPr>
              <w:rFonts w:ascii="Cambria Math" w:hAnsi="Cambria Math"/>
            </w:rPr>
            <m:t>=</m:t>
          </m:r>
          <m:r>
            <m:rPr>
              <m:sty m:val="p"/>
            </m:rPr>
            <w:rPr>
              <w:rFonts w:ascii="Cambria Math" w:hAnsi="Cambria Math"/>
            </w:rPr>
            <m:t>Π</m:t>
          </m:r>
          <m:d>
            <m:dPr>
              <m:ctrlPr>
                <w:rPr>
                  <w:rFonts w:ascii="Cambria Math" w:hAnsi="Cambria Math"/>
                  <w:i/>
                </w:rPr>
              </m:ctrlPr>
            </m:dPr>
            <m:e>
              <m:f>
                <m:fPr>
                  <m:ctrlPr>
                    <w:rPr>
                      <w:rFonts w:ascii="Cambria Math" w:hAnsi="Cambria Math"/>
                      <w:i/>
                    </w:rPr>
                  </m:ctrlPr>
                </m:fPr>
                <m:num>
                  <m:r>
                    <w:rPr>
                      <w:rFonts w:ascii="Cambria Math" w:hAnsi="Cambria Math"/>
                    </w:rPr>
                    <m:t>f</m:t>
                  </m:r>
                </m:num>
                <m:den>
                  <m:r>
                    <m:rPr>
                      <m:sty m:val="p"/>
                    </m:rPr>
                    <w:rPr>
                      <w:rFonts w:ascii="Cambria Math" w:hAnsi="Cambria Math"/>
                    </w:rPr>
                    <m:t>BW</m:t>
                  </m:r>
                </m:den>
              </m:f>
            </m:e>
          </m:d>
          <m:r>
            <w:rPr>
              <w:rFonts w:ascii="Cambria Math" w:hAnsi="Cambria Math"/>
            </w:rPr>
            <m:t>-</m:t>
          </m:r>
          <m:sSup>
            <m:sSupPr>
              <m:ctrlPr>
                <w:rPr>
                  <w:rFonts w:ascii="Cambria Math" w:hAnsi="Cambria Math"/>
                  <w:i/>
                </w:rPr>
              </m:ctrlPr>
            </m:sSupPr>
            <m:e>
              <m:r>
                <m:rPr>
                  <m:sty m:val="p"/>
                </m:rPr>
                <w:rPr>
                  <w:rFonts w:ascii="Cambria Math" w:hAnsi="Cambria Math"/>
                </w:rPr>
                <m:t>sinc</m:t>
              </m:r>
            </m:e>
            <m:sup>
              <m:r>
                <w:rPr>
                  <w:rFonts w:ascii="Cambria Math" w:hAnsi="Cambria Math"/>
                </w:rPr>
                <m:t>2</m:t>
              </m:r>
            </m:sup>
          </m:sSup>
          <m:d>
            <m:dPr>
              <m:ctrlPr>
                <w:rPr>
                  <w:rFonts w:ascii="Cambria Math" w:hAnsi="Cambria Math"/>
                  <w:i/>
                </w:rPr>
              </m:ctrlPr>
            </m:dPr>
            <m:e>
              <m:f>
                <m:fPr>
                  <m:ctrlPr>
                    <w:rPr>
                      <w:rFonts w:ascii="Cambria Math" w:hAnsi="Cambria Math"/>
                      <w:i/>
                    </w:rPr>
                  </m:ctrlPr>
                </m:fPr>
                <m:num>
                  <m:r>
                    <w:rPr>
                      <w:rFonts w:ascii="Cambria Math" w:hAnsi="Cambria Math"/>
                    </w:rPr>
                    <m:t>f</m:t>
                  </m:r>
                </m:num>
                <m:den>
                  <m:r>
                    <m:rPr>
                      <m:sty m:val="p"/>
                    </m:rPr>
                    <w:rPr>
                      <w:rFonts w:ascii="Cambria Math" w:hAnsi="Cambria Math"/>
                    </w:rPr>
                    <m:t>SCS</m:t>
                  </m:r>
                </m:den>
              </m:f>
            </m:e>
          </m:d>
        </m:oMath>
      </m:oMathPara>
    </w:p>
    <w:p w14:paraId="44EDF85C" w14:textId="4F4AA762" w:rsidR="00CC59B9" w:rsidRDefault="00CC59B9" w:rsidP="00CC59B9">
      <w:pPr>
        <w:pStyle w:val="BodyText"/>
      </w:pPr>
      <w:r>
        <w:t xml:space="preserve">where the rectangular function </w:t>
      </w:r>
      <m:oMath>
        <m:r>
          <m:rPr>
            <m:sty m:val="p"/>
          </m:rPr>
          <w:rPr>
            <w:rFonts w:ascii="Cambria Math" w:hAnsi="Cambria Math"/>
          </w:rPr>
          <m:t>Π</m:t>
        </m:r>
        <m:d>
          <m:dPr>
            <m:ctrlPr>
              <w:rPr>
                <w:rFonts w:ascii="Cambria Math" w:hAnsi="Cambria Math"/>
                <w:i/>
              </w:rPr>
            </m:ctrlPr>
          </m:dPr>
          <m:e>
            <m:r>
              <w:rPr>
                <w:rFonts w:ascii="Cambria Math" w:hAnsi="Cambria Math"/>
              </w:rPr>
              <m:t>x</m:t>
            </m:r>
          </m:e>
        </m:d>
        <m:r>
          <w:rPr>
            <w:rFonts w:ascii="Cambria Math" w:hAnsi="Cambria Math"/>
          </w:rPr>
          <m:t>=1</m:t>
        </m:r>
      </m:oMath>
      <w:r>
        <w:t xml:space="preserve"> if </w:t>
      </w:r>
      <m:oMath>
        <m:r>
          <w:rPr>
            <w:rFonts w:ascii="Cambria Math" w:hAnsi="Cambria Math"/>
          </w:rPr>
          <m:t>|x|≤1/2</m:t>
        </m:r>
      </m:oMath>
      <w:r>
        <w:t xml:space="preserve"> and </w:t>
      </w:r>
      <m:oMath>
        <m:r>
          <w:rPr>
            <w:rFonts w:ascii="Cambria Math" w:hAnsi="Cambria Math"/>
          </w:rPr>
          <m:t>0</m:t>
        </m:r>
      </m:oMath>
      <w:r>
        <w:t xml:space="preserve"> otherwise. The ICI power integrated over a 2 GHz bandwidth is shown in </w:t>
      </w:r>
      <w:r>
        <w:fldChar w:fldCharType="begin"/>
      </w:r>
      <w:r>
        <w:instrText xml:space="preserve"> REF _Ref53141571 \h </w:instrText>
      </w:r>
      <w:r>
        <w:fldChar w:fldCharType="separate"/>
      </w:r>
      <w:r w:rsidR="00BE31F7" w:rsidRPr="00AA6731">
        <w:rPr>
          <w:rFonts w:cs="Arial"/>
        </w:rPr>
        <w:t xml:space="preserve">Figure </w:t>
      </w:r>
      <w:r w:rsidR="00BE31F7">
        <w:rPr>
          <w:rFonts w:asciiTheme="minorBidi" w:hAnsiTheme="minorBidi" w:cstheme="minorBidi"/>
          <w:noProof/>
        </w:rPr>
        <w:t>17</w:t>
      </w:r>
      <w:r>
        <w:fldChar w:fldCharType="end"/>
      </w:r>
      <w:r>
        <w:t>. It can be observed that:</w:t>
      </w:r>
    </w:p>
    <w:p w14:paraId="785DC23A" w14:textId="77777777" w:rsidR="00CC59B9" w:rsidRDefault="00CC59B9" w:rsidP="00CC59B9">
      <w:pPr>
        <w:pStyle w:val="BodyText"/>
        <w:numPr>
          <w:ilvl w:val="0"/>
          <w:numId w:val="67"/>
        </w:numPr>
      </w:pPr>
      <w:r>
        <w:t>ICI powers are dominated by the phase noises at the UE side. The ICI power contribution from the BS phase noise is generally more than 5 dB lower than that from the UE phase noise.</w:t>
      </w:r>
    </w:p>
    <w:p w14:paraId="3FF11EFC" w14:textId="786EBEA6" w:rsidR="00CC59B9" w:rsidRDefault="00CC59B9" w:rsidP="00CC59B9">
      <w:pPr>
        <w:pStyle w:val="BodyText"/>
        <w:numPr>
          <w:ilvl w:val="0"/>
          <w:numId w:val="67"/>
        </w:numPr>
      </w:pPr>
      <w:r>
        <w:t>With the Ex 2 UE or BS phase noise models, the ICI power has a very strong dependency on the sub-carrier spacing. For example, with the Ex 2 UE mode</w:t>
      </w:r>
      <w:r w:rsidR="007A56F7">
        <w:t>l</w:t>
      </w:r>
      <w:r>
        <w:t xml:space="preserve">, the ICI powers for the 120 kHz SCS and the 960 kHz SCS differ by 5 </w:t>
      </w:r>
      <w:proofErr w:type="spellStart"/>
      <w:r>
        <w:t>dB.</w:t>
      </w:r>
      <w:proofErr w:type="spellEnd"/>
    </w:p>
    <w:p w14:paraId="203E8363" w14:textId="5B135E0C" w:rsidR="00CC59B9" w:rsidRDefault="00CC59B9" w:rsidP="00CC59B9">
      <w:pPr>
        <w:pStyle w:val="BodyText"/>
        <w:numPr>
          <w:ilvl w:val="0"/>
          <w:numId w:val="67"/>
        </w:numPr>
      </w:pPr>
      <w:r>
        <w:t xml:space="preserve">In contrast, with the new phase noise models proposed in RAN4, the dependency on the sub-carrier spacing of the ICI power is much reduced. </w:t>
      </w:r>
      <w:r w:rsidR="008A6B9D">
        <w:t>For the model proposed in R</w:t>
      </w:r>
      <w:r w:rsidR="00FC3AEB">
        <w:t>4</w:t>
      </w:r>
      <w:r w:rsidR="008A6B9D">
        <w:t>-2010176</w:t>
      </w:r>
      <w:r w:rsidR="00FC3AEB">
        <w:t xml:space="preserve"> (ref </w:t>
      </w:r>
      <w:r w:rsidR="00FC3AEB">
        <w:fldChar w:fldCharType="begin"/>
      </w:r>
      <w:r w:rsidR="00FC3AEB">
        <w:instrText xml:space="preserve"> REF _Ref53393318 \r \h </w:instrText>
      </w:r>
      <w:r w:rsidR="00FC3AEB">
        <w:fldChar w:fldCharType="separate"/>
      </w:r>
      <w:r w:rsidR="00BE31F7">
        <w:t>[19]</w:t>
      </w:r>
      <w:r w:rsidR="00FC3AEB">
        <w:fldChar w:fldCharType="end"/>
      </w:r>
      <w:r w:rsidR="00FC3AEB">
        <w:t>)</w:t>
      </w:r>
      <w:r w:rsidR="008A6B9D">
        <w:t>, there is only a 2 dB ICI power difference between the 120 kHz SCS and the 960 kHz SCS. For the UE model proposed in R4-2011494</w:t>
      </w:r>
      <w:r w:rsidR="00FC3AEB">
        <w:t xml:space="preserve"> (ref </w:t>
      </w:r>
      <w:r w:rsidR="00FC3AEB">
        <w:fldChar w:fldCharType="begin"/>
      </w:r>
      <w:r w:rsidR="00FC3AEB">
        <w:instrText xml:space="preserve"> REF _Ref53393325 \r \h </w:instrText>
      </w:r>
      <w:r w:rsidR="00FC3AEB">
        <w:fldChar w:fldCharType="separate"/>
      </w:r>
      <w:r w:rsidR="00BE31F7">
        <w:t>[20]</w:t>
      </w:r>
      <w:r w:rsidR="00FC3AEB">
        <w:fldChar w:fldCharType="end"/>
      </w:r>
      <w:r w:rsidR="00FC3AEB">
        <w:t>)</w:t>
      </w:r>
      <w:r w:rsidR="008A6B9D">
        <w:t xml:space="preserve">, the ICI power difference between the two sub-carrier spacings is reduced to less than 1 </w:t>
      </w:r>
      <w:proofErr w:type="spellStart"/>
      <w:r w:rsidR="008A6B9D">
        <w:t>dB.</w:t>
      </w:r>
      <w:proofErr w:type="spellEnd"/>
    </w:p>
    <w:p w14:paraId="001A6787" w14:textId="4CAC56EF" w:rsidR="00CC59B9" w:rsidRDefault="00CC59B9" w:rsidP="00CC59B9">
      <w:pPr>
        <w:pStyle w:val="BodyText"/>
        <w:jc w:val="center"/>
      </w:pPr>
      <w:r>
        <w:rPr>
          <w:noProof/>
        </w:rPr>
        <w:lastRenderedPageBreak/>
        <w:drawing>
          <wp:inline distT="0" distB="0" distL="0" distR="0" wp14:anchorId="645147FA" wp14:editId="6BDBEB58">
            <wp:extent cx="4572000" cy="321065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2">
                      <a:extLst>
                        <a:ext uri="{28A0092B-C50C-407E-A947-70E740481C1C}">
                          <a14:useLocalDpi xmlns:a14="http://schemas.microsoft.com/office/drawing/2010/main" val="0"/>
                        </a:ext>
                      </a:extLst>
                    </a:blip>
                    <a:srcRect t="6251"/>
                    <a:stretch>
                      <a:fillRect/>
                    </a:stretch>
                  </pic:blipFill>
                  <pic:spPr>
                    <a:xfrm>
                      <a:off x="0" y="0"/>
                      <a:ext cx="4572000" cy="3210658"/>
                    </a:xfrm>
                    <a:prstGeom prst="rect">
                      <a:avLst/>
                    </a:prstGeom>
                  </pic:spPr>
                </pic:pic>
              </a:graphicData>
            </a:graphic>
          </wp:inline>
        </w:drawing>
      </w:r>
    </w:p>
    <w:p w14:paraId="10024BA9" w14:textId="73EE0AF4" w:rsidR="00CC59B9" w:rsidRDefault="00CC59B9" w:rsidP="00CC59B9">
      <w:pPr>
        <w:pStyle w:val="Caption"/>
        <w:jc w:val="both"/>
        <w:rPr>
          <w:rFonts w:ascii="Arial" w:hAnsi="Arial" w:cs="Arial"/>
        </w:rPr>
      </w:pPr>
      <w:bookmarkStart w:id="108" w:name="_Ref53141571"/>
      <w:r w:rsidRPr="00AA6731">
        <w:rPr>
          <w:rFonts w:ascii="Arial" w:hAnsi="Arial" w:cs="Arial"/>
        </w:rPr>
        <w:t xml:space="preserve">Figure </w:t>
      </w:r>
      <w:r w:rsidRPr="003B0557">
        <w:rPr>
          <w:rFonts w:ascii="Arial" w:hAnsi="Arial" w:cs="Arial"/>
        </w:rPr>
        <w:fldChar w:fldCharType="begin"/>
      </w:r>
      <w:r w:rsidRPr="00AC5D15">
        <w:rPr>
          <w:rFonts w:asciiTheme="minorBidi" w:hAnsiTheme="minorBidi" w:cstheme="minorBidi"/>
        </w:rPr>
        <w:instrText xml:space="preserve"> SEQ Figure \* ARABIC </w:instrText>
      </w:r>
      <w:r w:rsidRPr="003B0557">
        <w:rPr>
          <w:rFonts w:ascii="Arial" w:hAnsi="Arial" w:cs="Arial"/>
        </w:rPr>
        <w:fldChar w:fldCharType="separate"/>
      </w:r>
      <w:r w:rsidR="00BE31F7">
        <w:rPr>
          <w:rFonts w:asciiTheme="minorBidi" w:hAnsiTheme="minorBidi" w:cstheme="minorBidi"/>
          <w:noProof/>
        </w:rPr>
        <w:t>17</w:t>
      </w:r>
      <w:r w:rsidRPr="003B0557">
        <w:rPr>
          <w:rFonts w:ascii="Arial" w:hAnsi="Arial" w:cs="Arial"/>
        </w:rPr>
        <w:fldChar w:fldCharType="end"/>
      </w:r>
      <w:bookmarkEnd w:id="108"/>
      <w:r w:rsidRPr="00AA6731">
        <w:rPr>
          <w:rFonts w:ascii="Arial" w:hAnsi="Arial" w:cs="Arial"/>
        </w:rPr>
        <w:t>:</w:t>
      </w:r>
      <w:r>
        <w:rPr>
          <w:rFonts w:ascii="Arial" w:hAnsi="Arial" w:cs="Arial"/>
        </w:rPr>
        <w:t xml:space="preserve"> ICI powers at different subcarrier spacings for different phase noise models integrated over 2 GHz bandwidth.</w:t>
      </w:r>
    </w:p>
    <w:p w14:paraId="2831F156" w14:textId="77777777" w:rsidR="00F125B5" w:rsidRDefault="00F125B5" w:rsidP="00CC59B9">
      <w:pPr>
        <w:pStyle w:val="BodyText"/>
      </w:pPr>
    </w:p>
    <w:p w14:paraId="561C8FE5" w14:textId="77777777" w:rsidR="00CC59B9" w:rsidRPr="000E45C1" w:rsidRDefault="00CC59B9" w:rsidP="00CC59B9">
      <w:pPr>
        <w:pStyle w:val="BodyText"/>
      </w:pPr>
      <w:r w:rsidRPr="000E45C1">
        <w:t xml:space="preserve">In </w:t>
      </w:r>
      <w:r>
        <w:t>the following</w:t>
      </w:r>
      <w:r w:rsidRPr="000E45C1">
        <w:t xml:space="preserve">, we provide link-level evaluation results in terms of DL-SCH block error rate (BLER) vs. signal to noise ratio (SINR) for </w:t>
      </w:r>
      <w:r>
        <w:t xml:space="preserve">the </w:t>
      </w:r>
      <w:r w:rsidRPr="000E45C1">
        <w:t xml:space="preserve">TDL-A channel </w:t>
      </w:r>
      <w:r>
        <w:t>with 10 ns delay spread a</w:t>
      </w:r>
      <w:r w:rsidRPr="000E45C1">
        <w:t xml:space="preserve">ccording to the </w:t>
      </w:r>
      <w:r>
        <w:t xml:space="preserve">RAN1 agreed </w:t>
      </w:r>
      <w:r w:rsidRPr="000E45C1">
        <w:t>evaluation assumptions</w:t>
      </w:r>
      <w:r>
        <w:t>.</w:t>
      </w:r>
      <w:r w:rsidRPr="000E45C1">
        <w:t xml:space="preserve"> </w:t>
      </w:r>
      <w:r>
        <w:t>T</w:t>
      </w:r>
      <w:r w:rsidRPr="000E45C1">
        <w:t xml:space="preserve">wo channel bandwidths are </w:t>
      </w:r>
      <w:r>
        <w:t>considered:</w:t>
      </w:r>
    </w:p>
    <w:p w14:paraId="20C91CE9" w14:textId="77777777" w:rsidR="00CC59B9" w:rsidRDefault="00CC59B9" w:rsidP="00CC59B9">
      <w:pPr>
        <w:pStyle w:val="BodyText"/>
        <w:numPr>
          <w:ilvl w:val="0"/>
          <w:numId w:val="20"/>
        </w:numPr>
        <w:spacing w:after="0"/>
      </w:pPr>
      <w:r>
        <w:t>400 MHz</w:t>
      </w:r>
    </w:p>
    <w:p w14:paraId="5E66CC84" w14:textId="77777777" w:rsidR="00CC59B9" w:rsidRDefault="00CC59B9" w:rsidP="00CC59B9">
      <w:pPr>
        <w:pStyle w:val="BodyText"/>
        <w:numPr>
          <w:ilvl w:val="1"/>
          <w:numId w:val="20"/>
        </w:numPr>
        <w:spacing w:after="0"/>
      </w:pPr>
      <w:r>
        <w:t>256 RBs @ 120 kHz SCS</w:t>
      </w:r>
    </w:p>
    <w:p w14:paraId="28C0D4CC" w14:textId="77777777" w:rsidR="00CC59B9" w:rsidRDefault="00CC59B9" w:rsidP="00CC59B9">
      <w:pPr>
        <w:pStyle w:val="BodyText"/>
        <w:numPr>
          <w:ilvl w:val="1"/>
          <w:numId w:val="20"/>
        </w:numPr>
        <w:spacing w:after="0"/>
      </w:pPr>
      <w:r>
        <w:t>128 RBs @ 240 kHz SCS</w:t>
      </w:r>
    </w:p>
    <w:p w14:paraId="08B05EB8" w14:textId="77777777" w:rsidR="00CC59B9" w:rsidRDefault="00CC59B9" w:rsidP="00CC59B9">
      <w:pPr>
        <w:pStyle w:val="BodyText"/>
        <w:numPr>
          <w:ilvl w:val="1"/>
          <w:numId w:val="20"/>
        </w:numPr>
        <w:spacing w:after="0"/>
      </w:pPr>
      <w:r>
        <w:t>64 RBs @ 480 kHz SCS</w:t>
      </w:r>
    </w:p>
    <w:p w14:paraId="712E6CB1" w14:textId="77777777" w:rsidR="00CC59B9" w:rsidRDefault="00CC59B9" w:rsidP="00CC59B9">
      <w:pPr>
        <w:pStyle w:val="BodyText"/>
        <w:numPr>
          <w:ilvl w:val="0"/>
          <w:numId w:val="20"/>
        </w:numPr>
        <w:spacing w:after="0"/>
      </w:pPr>
      <w:r>
        <w:t>1600 MHz</w:t>
      </w:r>
    </w:p>
    <w:p w14:paraId="1D0CB6D1" w14:textId="77777777" w:rsidR="00CC59B9" w:rsidRDefault="00CC59B9" w:rsidP="00CC59B9">
      <w:pPr>
        <w:pStyle w:val="BodyText"/>
        <w:numPr>
          <w:ilvl w:val="1"/>
          <w:numId w:val="20"/>
        </w:numPr>
        <w:spacing w:after="0"/>
      </w:pPr>
      <w:r>
        <w:t>256 RBs @ 480 kHz SCS</w:t>
      </w:r>
    </w:p>
    <w:p w14:paraId="0BCE34CA" w14:textId="77777777" w:rsidR="00CC59B9" w:rsidRDefault="00CC59B9" w:rsidP="00CC59B9">
      <w:pPr>
        <w:pStyle w:val="BodyText"/>
        <w:numPr>
          <w:ilvl w:val="1"/>
          <w:numId w:val="20"/>
        </w:numPr>
      </w:pPr>
      <w:r>
        <w:t>128 RBs @ 960 kHz SCS</w:t>
      </w:r>
    </w:p>
    <w:p w14:paraId="00CBDA17" w14:textId="77777777" w:rsidR="00CC59B9" w:rsidRDefault="00CC59B9" w:rsidP="00CC59B9">
      <w:pPr>
        <w:pStyle w:val="BodyText"/>
      </w:pPr>
      <w:r>
        <w:t>To compare the impact of different phase noise models, we consider the following three sets of phase noise models:</w:t>
      </w:r>
    </w:p>
    <w:p w14:paraId="277A5A61" w14:textId="77777777" w:rsidR="00CC59B9" w:rsidRPr="00C613F5" w:rsidRDefault="00CC59B9" w:rsidP="00CC59B9">
      <w:pPr>
        <w:pStyle w:val="BodyText"/>
        <w:numPr>
          <w:ilvl w:val="0"/>
          <w:numId w:val="64"/>
        </w:numPr>
        <w:spacing w:after="0"/>
      </w:pPr>
      <w:r w:rsidRPr="00C613F5">
        <w:t xml:space="preserve">PN model set 1 </w:t>
      </w:r>
    </w:p>
    <w:p w14:paraId="1BEA13A8" w14:textId="77777777" w:rsidR="00CC59B9" w:rsidRPr="00C613F5" w:rsidRDefault="00CC59B9" w:rsidP="00CC59B9">
      <w:pPr>
        <w:pStyle w:val="BodyText"/>
        <w:numPr>
          <w:ilvl w:val="1"/>
          <w:numId w:val="64"/>
        </w:numPr>
        <w:spacing w:after="0"/>
      </w:pPr>
      <w:r w:rsidRPr="00C613F5">
        <w:t>BS: Ex2 BS</w:t>
      </w:r>
    </w:p>
    <w:p w14:paraId="7E00DFE5" w14:textId="77777777" w:rsidR="00CC59B9" w:rsidRPr="00C613F5" w:rsidRDefault="00CC59B9" w:rsidP="00CC59B9">
      <w:pPr>
        <w:pStyle w:val="BodyText"/>
        <w:numPr>
          <w:ilvl w:val="1"/>
          <w:numId w:val="64"/>
        </w:numPr>
        <w:spacing w:after="0"/>
      </w:pPr>
      <w:r w:rsidRPr="00C613F5">
        <w:t>UE: Ex2 UE</w:t>
      </w:r>
    </w:p>
    <w:p w14:paraId="029A3DCF" w14:textId="77777777" w:rsidR="00CC59B9" w:rsidRPr="00C613F5" w:rsidRDefault="00CC59B9" w:rsidP="00CC59B9">
      <w:pPr>
        <w:pStyle w:val="BodyText"/>
        <w:numPr>
          <w:ilvl w:val="0"/>
          <w:numId w:val="64"/>
        </w:numPr>
        <w:spacing w:after="0"/>
      </w:pPr>
      <w:r w:rsidRPr="00C613F5">
        <w:t>PN model set 2</w:t>
      </w:r>
    </w:p>
    <w:p w14:paraId="7241CF64" w14:textId="77777777" w:rsidR="00CC59B9" w:rsidRPr="00C613F5" w:rsidRDefault="00CC59B9" w:rsidP="00CC59B9">
      <w:pPr>
        <w:pStyle w:val="BodyText"/>
        <w:numPr>
          <w:ilvl w:val="1"/>
          <w:numId w:val="64"/>
        </w:numPr>
        <w:spacing w:after="0"/>
      </w:pPr>
      <w:r w:rsidRPr="00C613F5">
        <w:t>BS: Ex2 BS</w:t>
      </w:r>
    </w:p>
    <w:p w14:paraId="61BE1B13" w14:textId="0FD8CD58" w:rsidR="00CC59B9" w:rsidRPr="00C613F5" w:rsidRDefault="00CC59B9" w:rsidP="00CC59B9">
      <w:pPr>
        <w:pStyle w:val="BodyText"/>
        <w:numPr>
          <w:ilvl w:val="1"/>
          <w:numId w:val="64"/>
        </w:numPr>
        <w:spacing w:after="0"/>
      </w:pPr>
      <w:r w:rsidRPr="00C613F5">
        <w:t>UE: R4-2011494</w:t>
      </w:r>
      <w:r w:rsidR="00FC3AEB">
        <w:t xml:space="preserve"> (ref </w:t>
      </w:r>
      <w:r w:rsidR="00FC3AEB">
        <w:fldChar w:fldCharType="begin"/>
      </w:r>
      <w:r w:rsidR="00FC3AEB">
        <w:instrText xml:space="preserve"> REF _Ref53393325 \r \h </w:instrText>
      </w:r>
      <w:r w:rsidR="00FC3AEB">
        <w:fldChar w:fldCharType="separate"/>
      </w:r>
      <w:r w:rsidR="00BE31F7">
        <w:t>[20]</w:t>
      </w:r>
      <w:r w:rsidR="00FC3AEB">
        <w:fldChar w:fldCharType="end"/>
      </w:r>
      <w:r w:rsidR="00FC3AEB">
        <w:t>)</w:t>
      </w:r>
    </w:p>
    <w:p w14:paraId="5521A076" w14:textId="77777777" w:rsidR="00CC59B9" w:rsidRPr="00C613F5" w:rsidRDefault="00CC59B9" w:rsidP="00CC59B9">
      <w:pPr>
        <w:pStyle w:val="BodyText"/>
        <w:numPr>
          <w:ilvl w:val="0"/>
          <w:numId w:val="64"/>
        </w:numPr>
        <w:spacing w:after="0"/>
      </w:pPr>
      <w:r w:rsidRPr="00C613F5">
        <w:t>PN model set 3</w:t>
      </w:r>
    </w:p>
    <w:p w14:paraId="0615B2AD" w14:textId="40EE5A63" w:rsidR="00CC59B9" w:rsidRPr="00C613F5" w:rsidRDefault="00CC59B9" w:rsidP="00CC59B9">
      <w:pPr>
        <w:pStyle w:val="BodyText"/>
        <w:numPr>
          <w:ilvl w:val="1"/>
          <w:numId w:val="64"/>
        </w:numPr>
        <w:spacing w:after="0"/>
      </w:pPr>
      <w:r w:rsidRPr="00C613F5">
        <w:t>BS: R4-2010176 DM=0 dB</w:t>
      </w:r>
      <w:r w:rsidR="00FC3AEB">
        <w:t xml:space="preserve"> (ref </w:t>
      </w:r>
      <w:r w:rsidR="00FC3AEB">
        <w:fldChar w:fldCharType="begin"/>
      </w:r>
      <w:r w:rsidR="00FC3AEB">
        <w:instrText xml:space="preserve"> REF _Ref53393318 \r \h </w:instrText>
      </w:r>
      <w:r w:rsidR="00FC3AEB">
        <w:fldChar w:fldCharType="separate"/>
      </w:r>
      <w:r w:rsidR="00BE31F7">
        <w:t>[19]</w:t>
      </w:r>
      <w:r w:rsidR="00FC3AEB">
        <w:fldChar w:fldCharType="end"/>
      </w:r>
      <w:r w:rsidR="00FC3AEB">
        <w:t>)</w:t>
      </w:r>
    </w:p>
    <w:p w14:paraId="0974483B" w14:textId="26BFF08F" w:rsidR="00CC59B9" w:rsidRPr="00C613F5" w:rsidRDefault="00CC59B9" w:rsidP="00CC59B9">
      <w:pPr>
        <w:pStyle w:val="BodyText"/>
        <w:numPr>
          <w:ilvl w:val="1"/>
          <w:numId w:val="64"/>
        </w:numPr>
      </w:pPr>
      <w:r w:rsidRPr="00C613F5">
        <w:t>UE: R4-2010176 DM=5 dB</w:t>
      </w:r>
      <w:r w:rsidR="00FC3AEB">
        <w:t xml:space="preserve"> (ref </w:t>
      </w:r>
      <w:r w:rsidR="00FC3AEB">
        <w:fldChar w:fldCharType="begin"/>
      </w:r>
      <w:r w:rsidR="00FC3AEB">
        <w:instrText xml:space="preserve"> REF _Ref53393318 \r \h </w:instrText>
      </w:r>
      <w:r w:rsidR="00FC3AEB">
        <w:fldChar w:fldCharType="separate"/>
      </w:r>
      <w:r w:rsidR="00BE31F7">
        <w:t>[19]</w:t>
      </w:r>
      <w:r w:rsidR="00FC3AEB">
        <w:fldChar w:fldCharType="end"/>
      </w:r>
      <w:r w:rsidR="00FC3AEB">
        <w:t>)</w:t>
      </w:r>
    </w:p>
    <w:p w14:paraId="4D03A772" w14:textId="77777777" w:rsidR="00CC59B9" w:rsidRDefault="00CC59B9" w:rsidP="00CC59B9">
      <w:pPr>
        <w:pStyle w:val="BodyText"/>
      </w:pPr>
      <w:r w:rsidRPr="000E45C1">
        <w:t xml:space="preserve">In all link-level simulations for OFDM, current Rel-15 PTRS configurations </w:t>
      </w:r>
      <w:r>
        <w:t xml:space="preserve">with </w:t>
      </w:r>
      <w:r w:rsidRPr="000E45C1">
        <w:t xml:space="preserve">K=2 and L=1 </w:t>
      </w:r>
      <w:proofErr w:type="gramStart"/>
      <w:r w:rsidRPr="000E45C1">
        <w:t>are</w:t>
      </w:r>
      <w:proofErr w:type="gramEnd"/>
      <w:r w:rsidRPr="000E45C1">
        <w:t xml:space="preserve"> used and CPE compensation </w:t>
      </w:r>
      <w:r>
        <w:t>is applied to the received signals.</w:t>
      </w:r>
    </w:p>
    <w:p w14:paraId="203B9A1B" w14:textId="0CFB18EC" w:rsidR="00CC59B9" w:rsidRDefault="00CC59B9" w:rsidP="003C2819">
      <w:pPr>
        <w:pStyle w:val="BodyText"/>
        <w:keepNext/>
      </w:pPr>
      <w:r>
        <w:t xml:space="preserve">The BLERs for </w:t>
      </w:r>
      <w:r w:rsidR="00B51006">
        <w:t xml:space="preserve">MCS 16 and </w:t>
      </w:r>
      <w:r>
        <w:t>MCS 22 (which use</w:t>
      </w:r>
      <w:r w:rsidR="00B51006">
        <w:t xml:space="preserve"> 16QAM and</w:t>
      </w:r>
      <w:r>
        <w:t xml:space="preserve"> 64QAM</w:t>
      </w:r>
      <w:r w:rsidR="00B51006">
        <w:t>, respectively</w:t>
      </w:r>
      <w:r>
        <w:t xml:space="preserve">) using the three sets of phase noise models are provided in </w:t>
      </w:r>
      <w:r>
        <w:fldChar w:fldCharType="begin"/>
      </w:r>
      <w:r>
        <w:instrText xml:space="preserve"> REF _Ref52969641 \h </w:instrText>
      </w:r>
      <w:r>
        <w:fldChar w:fldCharType="separate"/>
      </w:r>
      <w:r w:rsidR="00BE31F7" w:rsidRPr="00D7403F">
        <w:rPr>
          <w:rFonts w:cs="Arial"/>
        </w:rPr>
        <w:t xml:space="preserve">Figure </w:t>
      </w:r>
      <w:r w:rsidR="00BE31F7">
        <w:rPr>
          <w:rFonts w:cs="Arial"/>
          <w:noProof/>
        </w:rPr>
        <w:t>18</w:t>
      </w:r>
      <w:r>
        <w:fldChar w:fldCharType="end"/>
      </w:r>
      <w:r>
        <w:t xml:space="preserve">, </w:t>
      </w:r>
      <w:r>
        <w:fldChar w:fldCharType="begin"/>
      </w:r>
      <w:r>
        <w:instrText xml:space="preserve"> REF _Ref52969657 \h </w:instrText>
      </w:r>
      <w:r>
        <w:fldChar w:fldCharType="separate"/>
      </w:r>
      <w:r w:rsidR="00BE31F7" w:rsidRPr="006F04C6">
        <w:rPr>
          <w:rFonts w:asciiTheme="minorBidi" w:hAnsiTheme="minorBidi" w:cstheme="minorBidi"/>
        </w:rPr>
        <w:t xml:space="preserve">Figure </w:t>
      </w:r>
      <w:r w:rsidR="00BE31F7">
        <w:rPr>
          <w:rFonts w:asciiTheme="minorBidi" w:hAnsiTheme="minorBidi" w:cstheme="minorBidi"/>
          <w:noProof/>
        </w:rPr>
        <w:t>19</w:t>
      </w:r>
      <w:r>
        <w:fldChar w:fldCharType="end"/>
      </w:r>
      <w:r>
        <w:t xml:space="preserve"> and</w:t>
      </w:r>
      <w:r w:rsidR="00045D1C">
        <w:t xml:space="preserve"> </w:t>
      </w:r>
      <w:r w:rsidR="00773279">
        <w:fldChar w:fldCharType="begin"/>
      </w:r>
      <w:r w:rsidR="00773279">
        <w:instrText xml:space="preserve"> REF _Ref53395981 \h </w:instrText>
      </w:r>
      <w:r w:rsidR="00773279">
        <w:fldChar w:fldCharType="separate"/>
      </w:r>
      <w:r w:rsidR="00BE31F7" w:rsidRPr="00B3338F">
        <w:rPr>
          <w:rFonts w:cs="Arial"/>
        </w:rPr>
        <w:t xml:space="preserve">Figure </w:t>
      </w:r>
      <w:r w:rsidR="00BE31F7">
        <w:rPr>
          <w:rFonts w:cs="Arial"/>
          <w:noProof/>
        </w:rPr>
        <w:t>20</w:t>
      </w:r>
      <w:r w:rsidR="00773279">
        <w:fldChar w:fldCharType="end"/>
      </w:r>
      <w:r>
        <w:t>. The following observations can be made.</w:t>
      </w:r>
    </w:p>
    <w:p w14:paraId="2993C18C" w14:textId="4412C345" w:rsidR="00CC59B9" w:rsidRDefault="00CC59B9" w:rsidP="00CC59B9">
      <w:pPr>
        <w:pStyle w:val="BodyText"/>
        <w:numPr>
          <w:ilvl w:val="0"/>
          <w:numId w:val="65"/>
        </w:numPr>
      </w:pPr>
      <w:r>
        <w:t xml:space="preserve">With phase noise model set 1 using Ex 2 models at both BS and UE, BLER performance with only CPE compensation depends strongly on the SCS. It can be observed in </w:t>
      </w:r>
      <w:r>
        <w:fldChar w:fldCharType="begin"/>
      </w:r>
      <w:r>
        <w:instrText xml:space="preserve"> REF _Ref52969641 \h </w:instrText>
      </w:r>
      <w:r>
        <w:fldChar w:fldCharType="separate"/>
      </w:r>
      <w:r w:rsidR="00BE31F7" w:rsidRPr="00D7403F">
        <w:rPr>
          <w:rFonts w:cs="Arial"/>
        </w:rPr>
        <w:t xml:space="preserve">Figure </w:t>
      </w:r>
      <w:r w:rsidR="00BE31F7">
        <w:rPr>
          <w:rFonts w:cs="Arial"/>
          <w:noProof/>
        </w:rPr>
        <w:t>18</w:t>
      </w:r>
      <w:r>
        <w:fldChar w:fldCharType="end"/>
      </w:r>
      <w:r>
        <w:t xml:space="preserve"> that links using larger SCS outperforms those with smaller SCS. That is, links using small SCS suffer more from ICI problems caused by the time-varying phase noise. For 400 MHz bandwidth with 120 or 240 kHz SCS as well as 1.6 GHz bandwidth with 480 kHz SCS, BLER floors can be observed.</w:t>
      </w:r>
    </w:p>
    <w:p w14:paraId="2474D321" w14:textId="6D13FFBD" w:rsidR="00CC59B9" w:rsidRDefault="00CC59B9" w:rsidP="00CC59B9">
      <w:pPr>
        <w:pStyle w:val="BodyText"/>
        <w:numPr>
          <w:ilvl w:val="0"/>
          <w:numId w:val="65"/>
        </w:numPr>
      </w:pPr>
      <w:r>
        <w:lastRenderedPageBreak/>
        <w:t>With phase noise model set 2, the Ex 2 UE model is replaced by the new UE phase noise model provided in R4-2011494</w:t>
      </w:r>
      <w:r w:rsidR="00416B1A">
        <w:t xml:space="preserve"> (ref </w:t>
      </w:r>
      <w:r w:rsidR="00416B1A">
        <w:fldChar w:fldCharType="begin"/>
      </w:r>
      <w:r w:rsidR="00416B1A">
        <w:instrText xml:space="preserve"> REF _Ref53393325 \r \h </w:instrText>
      </w:r>
      <w:r w:rsidR="00416B1A">
        <w:fldChar w:fldCharType="separate"/>
      </w:r>
      <w:r w:rsidR="00BE31F7">
        <w:t>[20]</w:t>
      </w:r>
      <w:r w:rsidR="00416B1A">
        <w:fldChar w:fldCharType="end"/>
      </w:r>
      <w:r w:rsidR="00416B1A">
        <w:t>)</w:t>
      </w:r>
      <w:r>
        <w:t xml:space="preserve">. For the BS, the same Ex 2 BS model is still applied. It can be clearly observed in </w:t>
      </w:r>
      <w:r>
        <w:fldChar w:fldCharType="begin"/>
      </w:r>
      <w:r>
        <w:instrText xml:space="preserve"> REF _Ref52969657 \h </w:instrText>
      </w:r>
      <w:r>
        <w:fldChar w:fldCharType="separate"/>
      </w:r>
      <w:r w:rsidR="00BE31F7" w:rsidRPr="006F04C6">
        <w:rPr>
          <w:rFonts w:asciiTheme="minorBidi" w:hAnsiTheme="minorBidi" w:cstheme="minorBidi"/>
        </w:rPr>
        <w:t xml:space="preserve">Figure </w:t>
      </w:r>
      <w:r w:rsidR="00BE31F7">
        <w:rPr>
          <w:rFonts w:asciiTheme="minorBidi" w:hAnsiTheme="minorBidi" w:cstheme="minorBidi"/>
          <w:noProof/>
        </w:rPr>
        <w:t>19</w:t>
      </w:r>
      <w:r>
        <w:fldChar w:fldCharType="end"/>
      </w:r>
      <w:r>
        <w:t xml:space="preserve"> that there is significantly less dependence of BLER performance on SCS. For all test cases, no error floor is observed</w:t>
      </w:r>
      <w:r w:rsidR="000521F3">
        <w:t xml:space="preserve"> for </w:t>
      </w:r>
      <w:r w:rsidR="006B2224">
        <w:t>small</w:t>
      </w:r>
      <w:r w:rsidR="00104A38">
        <w:t>er</w:t>
      </w:r>
      <w:r w:rsidR="006B2224">
        <w:t xml:space="preserve"> </w:t>
      </w:r>
      <w:r w:rsidR="00D96E3E">
        <w:t>subcarrier spacings</w:t>
      </w:r>
      <w:r>
        <w:t>. Instead, there is only around 1 dB performance difference between consecutive SCSs.</w:t>
      </w:r>
    </w:p>
    <w:p w14:paraId="30D46677" w14:textId="5DA37386" w:rsidR="00CC59B9" w:rsidRDefault="00CC59B9" w:rsidP="00CC59B9">
      <w:pPr>
        <w:pStyle w:val="BodyText"/>
        <w:numPr>
          <w:ilvl w:val="0"/>
          <w:numId w:val="65"/>
        </w:numPr>
      </w:pPr>
      <w:r>
        <w:t>With phase noise model set 3, the BS and UE phase noise is modeled by the model provided in R4-2010176</w:t>
      </w:r>
      <w:r w:rsidR="00416B1A">
        <w:t xml:space="preserve"> (ref </w:t>
      </w:r>
      <w:r w:rsidR="00416B1A">
        <w:fldChar w:fldCharType="begin"/>
      </w:r>
      <w:r w:rsidR="00416B1A">
        <w:instrText xml:space="preserve"> REF _Ref53393318 \r \h </w:instrText>
      </w:r>
      <w:r w:rsidR="00416B1A">
        <w:fldChar w:fldCharType="separate"/>
      </w:r>
      <w:r w:rsidR="00BE31F7">
        <w:t>[19]</w:t>
      </w:r>
      <w:r w:rsidR="00416B1A">
        <w:fldChar w:fldCharType="end"/>
      </w:r>
      <w:r w:rsidR="00416B1A">
        <w:t>)</w:t>
      </w:r>
      <w:r>
        <w:t xml:space="preserve"> with different design margins, respectively. Similar to the cases observed in phase noise model set 2, there is significantly less dependence of BLER performance on SCS </w:t>
      </w:r>
      <w:r w:rsidR="00CC00E2">
        <w:t xml:space="preserve">in </w:t>
      </w:r>
      <w:r w:rsidR="00CC00E2">
        <w:fldChar w:fldCharType="begin"/>
      </w:r>
      <w:r w:rsidR="00CC00E2">
        <w:instrText xml:space="preserve"> REF _Ref53395981 \h </w:instrText>
      </w:r>
      <w:r w:rsidR="00CC00E2">
        <w:fldChar w:fldCharType="separate"/>
      </w:r>
      <w:r w:rsidR="00BE31F7" w:rsidRPr="00B3338F">
        <w:rPr>
          <w:rFonts w:cs="Arial"/>
        </w:rPr>
        <w:t xml:space="preserve">Figure </w:t>
      </w:r>
      <w:r w:rsidR="00BE31F7">
        <w:rPr>
          <w:rFonts w:cs="Arial"/>
          <w:noProof/>
        </w:rPr>
        <w:t>20</w:t>
      </w:r>
      <w:r w:rsidR="00CC00E2">
        <w:fldChar w:fldCharType="end"/>
      </w:r>
      <w:r w:rsidR="00CC00E2">
        <w:t xml:space="preserve"> </w:t>
      </w:r>
      <w:r>
        <w:t>than that observed in phase noise model set 1.</w:t>
      </w:r>
      <w:r w:rsidRPr="003B035A">
        <w:t xml:space="preserve"> </w:t>
      </w:r>
      <w:r>
        <w:t xml:space="preserve">Between consecutive SCSs, BLER performance for the same bandwidth differs by only 1 to 2 </w:t>
      </w:r>
      <w:proofErr w:type="spellStart"/>
      <w:r>
        <w:t>dB.</w:t>
      </w:r>
      <w:proofErr w:type="spellEnd"/>
    </w:p>
    <w:p w14:paraId="00F9896B" w14:textId="1B8F2959" w:rsidR="008E7E69" w:rsidRPr="008E7E69" w:rsidRDefault="008E7E69" w:rsidP="004F69A1">
      <w:pPr>
        <w:pStyle w:val="ListParagraph"/>
        <w:numPr>
          <w:ilvl w:val="0"/>
          <w:numId w:val="65"/>
        </w:numPr>
        <w:jc w:val="both"/>
        <w:rPr>
          <w:rFonts w:ascii="Arial" w:eastAsia="Times New Roman" w:hAnsi="Arial"/>
          <w:sz w:val="20"/>
          <w:szCs w:val="20"/>
          <w:lang w:val="en-US" w:eastAsia="zh-CN"/>
        </w:rPr>
      </w:pPr>
      <w:r w:rsidRPr="008E7E69">
        <w:rPr>
          <w:rFonts w:ascii="Arial" w:eastAsia="Times New Roman" w:hAnsi="Arial"/>
          <w:sz w:val="20"/>
          <w:szCs w:val="20"/>
          <w:lang w:val="en-US" w:eastAsia="zh-CN"/>
        </w:rPr>
        <w:t>With larger delay spreads, systems with large SCS start to suffer from inter-symbol interference (ISI). For the example of 960 kHz SCS, link performance error floor starts to develop for the 64QAM in a channel with 40 ns average delay spreads</w:t>
      </w:r>
      <w:r w:rsidR="00286229">
        <w:rPr>
          <w:rFonts w:ascii="Arial" w:eastAsia="Times New Roman" w:hAnsi="Arial"/>
          <w:sz w:val="20"/>
          <w:szCs w:val="20"/>
          <w:lang w:val="en-US" w:eastAsia="zh-CN"/>
        </w:rPr>
        <w:t xml:space="preserve"> for all phase noise model sets. In contrast, for 480 kHz SCS, the performance is quite insensitive to delay spread in the range 10 – 40 ns for phase noise model sets 2 and 3. </w:t>
      </w:r>
    </w:p>
    <w:p w14:paraId="53DA6616" w14:textId="77777777" w:rsidR="008E7E69" w:rsidRDefault="008E7E69" w:rsidP="003C2819">
      <w:pPr>
        <w:pStyle w:val="BodyText"/>
      </w:pPr>
    </w:p>
    <w:p w14:paraId="51A2A576" w14:textId="4FFCDAFD" w:rsidR="00CC59B9" w:rsidRDefault="24A696DA" w:rsidP="00CC59B9">
      <w:pPr>
        <w:keepNext/>
        <w:jc w:val="center"/>
      </w:pPr>
      <w:r>
        <w:rPr>
          <w:noProof/>
        </w:rPr>
        <w:drawing>
          <wp:inline distT="0" distB="0" distL="0" distR="0" wp14:anchorId="1D00A9E4" wp14:editId="20205B73">
            <wp:extent cx="3017520" cy="226314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pic:nvPicPr>
                  <pic:blipFill>
                    <a:blip r:embed="rId33">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r w:rsidR="12705B59">
        <w:rPr>
          <w:noProof/>
        </w:rPr>
        <w:drawing>
          <wp:inline distT="0" distB="0" distL="0" distR="0" wp14:anchorId="3449AE25" wp14:editId="180B7478">
            <wp:extent cx="3017520" cy="2263140"/>
            <wp:effectExtent l="0" t="0" r="0" b="381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pic:nvPicPr>
                  <pic:blipFill>
                    <a:blip r:embed="rId34">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p w14:paraId="67B2907B" w14:textId="3542F512" w:rsidR="00CC59B9" w:rsidRPr="00D7403F" w:rsidRDefault="00CC59B9" w:rsidP="00CC59B9">
      <w:pPr>
        <w:pStyle w:val="Caption"/>
        <w:jc w:val="both"/>
        <w:rPr>
          <w:rFonts w:ascii="Arial" w:hAnsi="Arial" w:cs="Arial"/>
        </w:rPr>
      </w:pPr>
      <w:bookmarkStart w:id="109" w:name="_Ref52969641"/>
      <w:r w:rsidRPr="00D7403F">
        <w:rPr>
          <w:rFonts w:ascii="Arial" w:hAnsi="Arial" w:cs="Arial"/>
        </w:rPr>
        <w:t xml:space="preserve">Figure </w:t>
      </w:r>
      <w:r w:rsidRPr="00D7403F">
        <w:rPr>
          <w:rFonts w:ascii="Arial" w:hAnsi="Arial" w:cs="Arial"/>
        </w:rPr>
        <w:fldChar w:fldCharType="begin"/>
      </w:r>
      <w:r w:rsidRPr="00D7403F">
        <w:rPr>
          <w:rFonts w:ascii="Arial" w:hAnsi="Arial" w:cs="Arial"/>
        </w:rPr>
        <w:instrText xml:space="preserve"> SEQ Figure \* ARABIC </w:instrText>
      </w:r>
      <w:r w:rsidRPr="00D7403F">
        <w:rPr>
          <w:rFonts w:ascii="Arial" w:hAnsi="Arial" w:cs="Arial"/>
        </w:rPr>
        <w:fldChar w:fldCharType="separate"/>
      </w:r>
      <w:r w:rsidR="00BE31F7">
        <w:rPr>
          <w:rFonts w:ascii="Arial" w:hAnsi="Arial" w:cs="Arial"/>
          <w:noProof/>
        </w:rPr>
        <w:t>18</w:t>
      </w:r>
      <w:r w:rsidRPr="00D7403F">
        <w:rPr>
          <w:rFonts w:ascii="Arial" w:hAnsi="Arial" w:cs="Arial"/>
        </w:rPr>
        <w:fldChar w:fldCharType="end"/>
      </w:r>
      <w:bookmarkEnd w:id="109"/>
      <w:r w:rsidRPr="00D7403F">
        <w:rPr>
          <w:rFonts w:ascii="Arial" w:hAnsi="Arial" w:cs="Arial"/>
        </w:rPr>
        <w:t xml:space="preserve">: </w:t>
      </w:r>
      <w:r w:rsidR="006A082F" w:rsidRPr="006A082F">
        <w:rPr>
          <w:rFonts w:ascii="Arial" w:hAnsi="Arial" w:cs="Arial"/>
        </w:rPr>
        <w:t>BLER for TDL-A channel with 10 ns (left) and 40 ns (right) delay spread. CPE compensation is used assuming the PN model set 1. The dotted/solid curves correspond to MCS 16/22, respectively</w:t>
      </w:r>
      <w:r w:rsidRPr="00D7403F">
        <w:rPr>
          <w:rFonts w:ascii="Arial" w:hAnsi="Arial" w:cs="Arial"/>
        </w:rPr>
        <w:t>.</w:t>
      </w:r>
    </w:p>
    <w:p w14:paraId="012AD765" w14:textId="7DB363EC" w:rsidR="00C3247D" w:rsidRDefault="00A06C45">
      <w:pPr>
        <w:pStyle w:val="BodyText"/>
        <w:keepNext/>
        <w:jc w:val="center"/>
      </w:pPr>
      <w:r>
        <w:rPr>
          <w:noProof/>
        </w:rPr>
        <w:drawing>
          <wp:inline distT="0" distB="0" distL="0" distR="0" wp14:anchorId="307FEEDC" wp14:editId="36FB310F">
            <wp:extent cx="3017520" cy="2263140"/>
            <wp:effectExtent l="0" t="0" r="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5A5516">
        <w:rPr>
          <w:noProof/>
        </w:rPr>
        <w:drawing>
          <wp:inline distT="0" distB="0" distL="0" distR="0" wp14:anchorId="4B537D09" wp14:editId="5CF0AB8B">
            <wp:extent cx="3017520" cy="22631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4F797BC0" w14:textId="75CAABE4" w:rsidR="00CC59B9" w:rsidRPr="006F04C6" w:rsidRDefault="00CC59B9" w:rsidP="00CC59B9">
      <w:pPr>
        <w:pStyle w:val="Caption"/>
        <w:jc w:val="both"/>
        <w:rPr>
          <w:rFonts w:asciiTheme="minorBidi" w:hAnsiTheme="minorBidi" w:cstheme="minorBidi"/>
        </w:rPr>
      </w:pPr>
      <w:bookmarkStart w:id="110" w:name="_Ref52969657"/>
      <w:r w:rsidRPr="006F04C6">
        <w:rPr>
          <w:rFonts w:asciiTheme="minorBidi" w:hAnsiTheme="minorBidi" w:cstheme="minorBidi"/>
        </w:rPr>
        <w:t xml:space="preserve">Figure </w:t>
      </w:r>
      <w:r w:rsidRPr="006F04C6">
        <w:rPr>
          <w:rFonts w:asciiTheme="minorBidi" w:hAnsiTheme="minorBidi" w:cstheme="minorBidi"/>
        </w:rPr>
        <w:fldChar w:fldCharType="begin"/>
      </w:r>
      <w:r w:rsidRPr="006F04C6">
        <w:rPr>
          <w:rFonts w:asciiTheme="minorBidi" w:hAnsiTheme="minorBidi" w:cstheme="minorBidi"/>
        </w:rPr>
        <w:instrText xml:space="preserve"> SEQ Figure \* ARABIC </w:instrText>
      </w:r>
      <w:r w:rsidRPr="006F04C6">
        <w:rPr>
          <w:rFonts w:asciiTheme="minorBidi" w:hAnsiTheme="minorBidi" w:cstheme="minorBidi"/>
        </w:rPr>
        <w:fldChar w:fldCharType="separate"/>
      </w:r>
      <w:r w:rsidR="00BE31F7">
        <w:rPr>
          <w:rFonts w:asciiTheme="minorBidi" w:hAnsiTheme="minorBidi" w:cstheme="minorBidi"/>
          <w:noProof/>
        </w:rPr>
        <w:t>19</w:t>
      </w:r>
      <w:r w:rsidRPr="006F04C6">
        <w:rPr>
          <w:rFonts w:asciiTheme="minorBidi" w:hAnsiTheme="minorBidi" w:cstheme="minorBidi"/>
        </w:rPr>
        <w:fldChar w:fldCharType="end"/>
      </w:r>
      <w:bookmarkEnd w:id="110"/>
      <w:r w:rsidRPr="006F04C6">
        <w:rPr>
          <w:rFonts w:asciiTheme="minorBidi" w:hAnsiTheme="minorBidi" w:cstheme="minorBidi"/>
        </w:rPr>
        <w:t xml:space="preserve">: </w:t>
      </w:r>
      <w:r w:rsidR="00C47C02" w:rsidRPr="00C47C02">
        <w:rPr>
          <w:rFonts w:asciiTheme="minorBidi" w:hAnsiTheme="minorBidi" w:cstheme="minorBidi"/>
        </w:rPr>
        <w:t xml:space="preserve">BLER for TDL-A channel with 10 ns (left) and 40 ns (right) delay spread. CPE compensation is used assuming the PN model set </w:t>
      </w:r>
      <w:r w:rsidR="00C47C02">
        <w:rPr>
          <w:rFonts w:asciiTheme="minorBidi" w:hAnsiTheme="minorBidi" w:cstheme="minorBidi"/>
        </w:rPr>
        <w:t>2</w:t>
      </w:r>
      <w:r w:rsidR="00C47C02" w:rsidRPr="00C47C02">
        <w:rPr>
          <w:rFonts w:asciiTheme="minorBidi" w:hAnsiTheme="minorBidi" w:cstheme="minorBidi"/>
        </w:rPr>
        <w:t>. The dotted/solid curves correspond to MCS 16/22, respectively</w:t>
      </w:r>
      <w:r w:rsidRPr="006F04C6">
        <w:rPr>
          <w:rFonts w:asciiTheme="minorBidi" w:hAnsiTheme="minorBidi" w:cstheme="minorBidi"/>
        </w:rPr>
        <w:t>.</w:t>
      </w:r>
    </w:p>
    <w:p w14:paraId="062C41AF" w14:textId="4F0EB099" w:rsidR="00045D1C" w:rsidRPr="00CA386A" w:rsidRDefault="002D7415" w:rsidP="003C2819">
      <w:pPr>
        <w:pStyle w:val="BodyText"/>
        <w:keepNext/>
        <w:jc w:val="center"/>
      </w:pPr>
      <w:bookmarkStart w:id="111" w:name="_Ref52969664"/>
      <w:r w:rsidRPr="002D7415">
        <w:rPr>
          <w:noProof/>
        </w:rPr>
        <w:lastRenderedPageBreak/>
        <w:t xml:space="preserve"> </w:t>
      </w:r>
      <w:r w:rsidR="00E81016">
        <w:rPr>
          <w:noProof/>
        </w:rPr>
        <w:drawing>
          <wp:inline distT="0" distB="0" distL="0" distR="0" wp14:anchorId="18DE26E7" wp14:editId="1D872025">
            <wp:extent cx="3017520" cy="2242410"/>
            <wp:effectExtent l="0" t="0" r="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Pr>
          <w:noProof/>
        </w:rPr>
        <w:t xml:space="preserve"> </w:t>
      </w:r>
      <w:r w:rsidR="00694F92">
        <w:rPr>
          <w:noProof/>
        </w:rPr>
        <w:drawing>
          <wp:inline distT="0" distB="0" distL="0" distR="0" wp14:anchorId="38A20554" wp14:editId="3AB33884">
            <wp:extent cx="3017520" cy="2242410"/>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19C69379" w14:textId="0FC18D62" w:rsidR="0078261F" w:rsidRDefault="00CC59B9" w:rsidP="003C2819">
      <w:pPr>
        <w:pStyle w:val="Caption"/>
      </w:pPr>
      <w:bookmarkStart w:id="112" w:name="_Ref53395981"/>
      <w:r w:rsidRPr="00B3338F">
        <w:rPr>
          <w:rFonts w:ascii="Arial" w:hAnsi="Arial" w:cs="Arial"/>
        </w:rPr>
        <w:t xml:space="preserve">Figure </w:t>
      </w:r>
      <w:r w:rsidRPr="00B3338F">
        <w:rPr>
          <w:rFonts w:ascii="Arial" w:hAnsi="Arial" w:cs="Arial"/>
        </w:rPr>
        <w:fldChar w:fldCharType="begin"/>
      </w:r>
      <w:r w:rsidRPr="00B3338F">
        <w:rPr>
          <w:rFonts w:ascii="Arial" w:hAnsi="Arial" w:cs="Arial"/>
        </w:rPr>
        <w:instrText xml:space="preserve"> SEQ Figure \* ARABIC </w:instrText>
      </w:r>
      <w:r w:rsidRPr="00B3338F">
        <w:rPr>
          <w:rFonts w:ascii="Arial" w:hAnsi="Arial" w:cs="Arial"/>
        </w:rPr>
        <w:fldChar w:fldCharType="separate"/>
      </w:r>
      <w:r w:rsidR="00BE31F7">
        <w:rPr>
          <w:rFonts w:ascii="Arial" w:hAnsi="Arial" w:cs="Arial"/>
          <w:noProof/>
        </w:rPr>
        <w:t>20</w:t>
      </w:r>
      <w:r w:rsidRPr="00B3338F">
        <w:rPr>
          <w:rFonts w:ascii="Arial" w:hAnsi="Arial" w:cs="Arial"/>
        </w:rPr>
        <w:fldChar w:fldCharType="end"/>
      </w:r>
      <w:bookmarkEnd w:id="111"/>
      <w:bookmarkEnd w:id="112"/>
      <w:r w:rsidRPr="00B3338F">
        <w:rPr>
          <w:rFonts w:ascii="Arial" w:hAnsi="Arial" w:cs="Arial"/>
        </w:rPr>
        <w:t xml:space="preserve">: </w:t>
      </w:r>
      <w:r w:rsidR="00C47C02" w:rsidRPr="00C47C02">
        <w:rPr>
          <w:rFonts w:ascii="Arial" w:hAnsi="Arial" w:cs="Arial"/>
        </w:rPr>
        <w:t xml:space="preserve">BLER for TDL-A channel with 10 ns (left) and 40 ns (right) delay spread. CPE compensation is used assuming the PN model set </w:t>
      </w:r>
      <w:r w:rsidR="00C47C02">
        <w:rPr>
          <w:rFonts w:ascii="Arial" w:hAnsi="Arial" w:cs="Arial"/>
        </w:rPr>
        <w:t>3</w:t>
      </w:r>
      <w:r w:rsidR="00C47C02" w:rsidRPr="00C47C02">
        <w:rPr>
          <w:rFonts w:ascii="Arial" w:hAnsi="Arial" w:cs="Arial"/>
        </w:rPr>
        <w:t>. The dotted/solid curves correspond to MCS 16/22, respectively</w:t>
      </w:r>
      <w:r w:rsidR="00C47C02">
        <w:rPr>
          <w:rFonts w:ascii="Arial" w:hAnsi="Arial" w:cs="Arial"/>
        </w:rPr>
        <w:t>.</w:t>
      </w:r>
    </w:p>
    <w:p w14:paraId="5C9E26AF" w14:textId="5AA41E96" w:rsidR="00A628D3" w:rsidRDefault="00A628D3" w:rsidP="00A628D3">
      <w:pPr>
        <w:pStyle w:val="BodyText"/>
      </w:pPr>
      <w:r>
        <w:t xml:space="preserve">In summary, link evaluation performed so far </w:t>
      </w:r>
      <w:r w:rsidR="00FB609A">
        <w:t>in RAN1</w:t>
      </w:r>
      <w:r>
        <w:t xml:space="preserve"> based on only Ex 2 models can lead to the belief that small SCSs suffer significantly from ICI problems and, hence, a large SCS is preferred. It is, however, demonstrated in this section, both analytically and empirically, that all the observed link performance differences are essentially caused by the Ex 2 UE model with characteristics that may not reflect current state of the technology. The danger of pessimistic conclusions induced by the Ex 2 UE model is also observed in </w:t>
      </w:r>
      <w:r w:rsidRPr="00C613F5">
        <w:t>R4-2011494</w:t>
      </w:r>
      <w:r>
        <w:t xml:space="preserve"> </w:t>
      </w:r>
      <w:r>
        <w:fldChar w:fldCharType="begin"/>
      </w:r>
      <w:r>
        <w:instrText xml:space="preserve"> REF _Ref53393325 \r \h </w:instrText>
      </w:r>
      <w:r>
        <w:fldChar w:fldCharType="separate"/>
      </w:r>
      <w:r w:rsidR="00BE31F7">
        <w:t>[20]</w:t>
      </w:r>
      <w:r>
        <w:fldChar w:fldCharType="end"/>
      </w:r>
      <w:r>
        <w:t>:</w:t>
      </w:r>
    </w:p>
    <w:p w14:paraId="3A3EFE90" w14:textId="77777777" w:rsidR="00A628D3" w:rsidRPr="00B4260D" w:rsidRDefault="00A628D3" w:rsidP="00A628D3">
      <w:pPr>
        <w:pStyle w:val="BodyText"/>
        <w:ind w:left="720" w:right="729"/>
        <w:rPr>
          <w:i/>
          <w:iCs/>
        </w:rPr>
      </w:pPr>
      <w:r w:rsidRPr="00B4260D">
        <w:rPr>
          <w:i/>
          <w:iCs/>
        </w:rPr>
        <w:t xml:space="preserve">“Model 2 use fabrication methods with curve of 2 sections which is divided by </w:t>
      </w:r>
      <w:proofErr w:type="spellStart"/>
      <w:r w:rsidRPr="00B4260D">
        <w:rPr>
          <w:i/>
          <w:iCs/>
        </w:rPr>
        <w:t>loopBW</w:t>
      </w:r>
      <w:proofErr w:type="spellEnd"/>
      <w:r w:rsidRPr="00B4260D">
        <w:rPr>
          <w:i/>
          <w:iCs/>
        </w:rPr>
        <w:t xml:space="preserve"> for UE and </w:t>
      </w:r>
      <w:proofErr w:type="spellStart"/>
      <w:r w:rsidRPr="00B4260D">
        <w:rPr>
          <w:i/>
          <w:iCs/>
        </w:rPr>
        <w:t>gNB</w:t>
      </w:r>
      <w:proofErr w:type="spellEnd"/>
      <w:r w:rsidRPr="00B4260D">
        <w:rPr>
          <w:i/>
          <w:iCs/>
        </w:rPr>
        <w:t xml:space="preserve"> respectively. From UE implementation perspective, model 2 is a little pessimistic which may have impact on performance evaluation processed in RAN1, ...”</w:t>
      </w:r>
    </w:p>
    <w:p w14:paraId="1DB89EE0" w14:textId="79103252" w:rsidR="00A628D3" w:rsidRDefault="00A628D3" w:rsidP="00A628D3">
      <w:pPr>
        <w:pStyle w:val="BodyText"/>
      </w:pPr>
      <w:r>
        <w:t xml:space="preserve">When the UE phase noise model is replaced by either (1) the </w:t>
      </w:r>
      <w:r w:rsidRPr="00E62722">
        <w:t>measurements/simulation on 70GHz UE PLL</w:t>
      </w:r>
      <w:r>
        <w:t xml:space="preserve"> </w:t>
      </w:r>
      <w:r>
        <w:fldChar w:fldCharType="begin"/>
      </w:r>
      <w:r>
        <w:instrText xml:space="preserve"> REF _Ref53393325 \r \h </w:instrText>
      </w:r>
      <w:r>
        <w:fldChar w:fldCharType="separate"/>
      </w:r>
      <w:r w:rsidR="00BE31F7">
        <w:t>[20]</w:t>
      </w:r>
      <w:r>
        <w:fldChar w:fldCharType="end"/>
      </w:r>
      <w:r>
        <w:t xml:space="preserve">, or (2) state of the art </w:t>
      </w:r>
      <w:r w:rsidRPr="00C67BC8">
        <w:t>representative</w:t>
      </w:r>
      <w:r>
        <w:t xml:space="preserve"> implementation</w:t>
      </w:r>
      <w:r w:rsidRPr="00C67BC8">
        <w:t xml:space="preserve"> of integrated RF circuit solutions</w:t>
      </w:r>
      <w:r>
        <w:t xml:space="preserve"> </w:t>
      </w:r>
      <w:r>
        <w:fldChar w:fldCharType="begin"/>
      </w:r>
      <w:r>
        <w:instrText xml:space="preserve"> REF _Ref53393318 \r \h </w:instrText>
      </w:r>
      <w:r>
        <w:fldChar w:fldCharType="separate"/>
      </w:r>
      <w:r w:rsidR="00BE31F7">
        <w:t>[19]</w:t>
      </w:r>
      <w:r>
        <w:fldChar w:fldCharType="end"/>
      </w:r>
      <w:r>
        <w:t>, SCS and ICI issues play much reduced roles in the link performance. Therefore, it is important for 3GPP to adopt more suitable phase noise models in the discussion and system designs for NR operation in 52.7 – 71 GHz range.</w:t>
      </w:r>
    </w:p>
    <w:p w14:paraId="4EB3B291" w14:textId="77777777" w:rsidR="00A628D3" w:rsidRDefault="00A628D3" w:rsidP="00A628D3">
      <w:pPr>
        <w:pStyle w:val="BodyText"/>
      </w:pPr>
    </w:p>
    <w:p w14:paraId="5ED6518C" w14:textId="2821D336" w:rsidR="00A628D3" w:rsidRDefault="00286229" w:rsidP="004F69A1">
      <w:pPr>
        <w:pStyle w:val="Proposal"/>
      </w:pPr>
      <w:bookmarkStart w:id="113" w:name="_Toc53776190"/>
      <w:r>
        <w:t xml:space="preserve">Capture the following in TR 38.808: </w:t>
      </w:r>
      <w:r w:rsidR="00A628D3">
        <w:t xml:space="preserve">Link evaluation based on phase model Ex 2, </w:t>
      </w:r>
      <w:r w:rsidR="00256BC6">
        <w:t xml:space="preserve">with </w:t>
      </w:r>
      <w:r w:rsidR="00A628D3">
        <w:t>characteristics not reflecting realistic devices or current state of the technology, can lead to pessimistic assessment of smaller sub-carrier spacings. It is important for 3GPP to adopt more suitable phase noise models in the discussion and system designs for NR operation in 52.7 – 71 GHz range.</w:t>
      </w:r>
      <w:bookmarkEnd w:id="113"/>
    </w:p>
    <w:p w14:paraId="1743F0F3" w14:textId="77777777" w:rsidR="00DD01DF" w:rsidRDefault="00DD01DF" w:rsidP="00DA4FF0">
      <w:pPr>
        <w:pStyle w:val="BodyText"/>
      </w:pPr>
    </w:p>
    <w:p w14:paraId="2C183BC0" w14:textId="4382F5EE" w:rsidR="00812499" w:rsidRDefault="00812499" w:rsidP="00812499">
      <w:pPr>
        <w:pStyle w:val="Heading3"/>
      </w:pPr>
      <w:bookmarkStart w:id="114" w:name="_Toc53775894"/>
      <w:r>
        <w:t>3.</w:t>
      </w:r>
      <w:r w:rsidR="00A7546B">
        <w:t>3</w:t>
      </w:r>
      <w:r>
        <w:t>.</w:t>
      </w:r>
      <w:r w:rsidR="00115FF9">
        <w:t>2</w:t>
      </w:r>
      <w:r>
        <w:tab/>
      </w:r>
      <w:r w:rsidR="004F1168">
        <w:t xml:space="preserve">ICI phase </w:t>
      </w:r>
      <w:r>
        <w:t>noise compensation for OFDM</w:t>
      </w:r>
      <w:bookmarkEnd w:id="114"/>
    </w:p>
    <w:p w14:paraId="5B05DBEA" w14:textId="012233C2" w:rsidR="00C17133" w:rsidRDefault="00BC2C79" w:rsidP="00C17133">
      <w:pPr>
        <w:pStyle w:val="BodyText"/>
      </w:pPr>
      <w:r>
        <w:t xml:space="preserve">In this section, we consider a simple ICI compensation algorithm and evaluate its performance. </w:t>
      </w:r>
      <w:r w:rsidR="00C17133">
        <w:t xml:space="preserve">Let the transmitted symbol and the channel response for sub-carrier </w:t>
      </w:r>
      <m:oMath>
        <m:r>
          <w:rPr>
            <w:rFonts w:ascii="Cambria Math" w:hAnsi="Cambria Math"/>
          </w:rPr>
          <m:t>k</m:t>
        </m:r>
      </m:oMath>
      <w:r w:rsidR="00C17133">
        <w:t xml:space="preserve"> be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17133">
        <w:t xml:space="preserve"> and </w:t>
      </w:r>
      <m:oMath>
        <m:sSub>
          <m:sSubPr>
            <m:ctrlPr>
              <w:rPr>
                <w:rFonts w:ascii="Cambria Math" w:hAnsi="Cambria Math"/>
                <w:i/>
              </w:rPr>
            </m:ctrlPr>
          </m:sSubPr>
          <m:e>
            <m:r>
              <w:rPr>
                <w:rFonts w:ascii="Cambria Math" w:hAnsi="Cambria Math"/>
              </w:rPr>
              <m:t>H</m:t>
            </m:r>
          </m:e>
          <m:sub>
            <m:r>
              <w:rPr>
                <w:rFonts w:ascii="Cambria Math" w:hAnsi="Cambria Math"/>
              </w:rPr>
              <m:t>k</m:t>
            </m:r>
          </m:sub>
        </m:sSub>
      </m:oMath>
      <w:r w:rsidR="00C17133">
        <w:t xml:space="preserve">, respectively. The time-varying phase noise induces inter-carrier-interference (ICI) in the received signal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rsidR="00F56B0C">
        <w:t xml:space="preserve"> </w:t>
      </w:r>
      <w:r w:rsidR="002F79F3">
        <w:fldChar w:fldCharType="begin"/>
      </w:r>
      <w:r w:rsidR="002F79F3">
        <w:instrText xml:space="preserve"> REF _Ref47085970 \r \h </w:instrText>
      </w:r>
      <w:r w:rsidR="002F79F3">
        <w:fldChar w:fldCharType="separate"/>
      </w:r>
      <w:r w:rsidR="00BE31F7">
        <w:t>[6]</w:t>
      </w:r>
      <w:r w:rsidR="002F79F3">
        <w:fldChar w:fldCharType="end"/>
      </w:r>
      <w:r w:rsidR="00C17133">
        <w:t>:</w:t>
      </w:r>
    </w:p>
    <w:p w14:paraId="0AD2992C" w14:textId="77777777" w:rsidR="00C17133" w:rsidRDefault="00B04ED4" w:rsidP="00C17133">
      <w:pPr>
        <w:pStyle w:val="BodyText"/>
      </w:pPr>
      <m:oMathPara>
        <m:oMath>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m:t>
          </m:r>
          <m:nary>
            <m:naryPr>
              <m:chr m:val="∑"/>
              <m:supHide m:val="1"/>
              <m:ctrlPr>
                <w:rPr>
                  <w:rFonts w:ascii="Cambria Math" w:hAnsi="Cambria Math"/>
                  <w:i/>
                </w:rPr>
              </m:ctrlPr>
            </m:naryPr>
            <m:sub>
              <m:r>
                <w:rPr>
                  <w:rFonts w:ascii="Cambria Math" w:hAnsi="Cambria Math"/>
                </w:rPr>
                <m:t>i</m:t>
              </m:r>
            </m:sub>
            <m:sup/>
            <m:e>
              <m:sSub>
                <m:sSubPr>
                  <m:ctrlPr>
                    <w:rPr>
                      <w:rFonts w:ascii="Cambria Math" w:hAnsi="Cambria Math"/>
                      <w:i/>
                    </w:rPr>
                  </m:ctrlPr>
                </m:sSubPr>
                <m:e>
                  <m:r>
                    <w:rPr>
                      <w:rFonts w:ascii="Cambria Math" w:hAnsi="Cambria Math"/>
                    </w:rPr>
                    <m:t>J</m:t>
                  </m:r>
                </m:e>
                <m:sub>
                  <m:r>
                    <w:rPr>
                      <w:rFonts w:ascii="Cambria Math" w:hAnsi="Cambria Math"/>
                    </w:rPr>
                    <m:t>i</m:t>
                  </m:r>
                </m:sub>
              </m:sSub>
            </m:e>
          </m:nary>
          <m:sSub>
            <m:sSubPr>
              <m:ctrlPr>
                <w:rPr>
                  <w:rFonts w:ascii="Cambria Math" w:hAnsi="Cambria Math"/>
                  <w:i/>
                </w:rPr>
              </m:ctrlPr>
            </m:sSubPr>
            <m:e>
              <m:r>
                <w:rPr>
                  <w:rFonts w:ascii="Cambria Math" w:hAnsi="Cambria Math"/>
                </w:rPr>
                <m:t>H</m:t>
              </m:r>
            </m:e>
            <m:sub>
              <m:r>
                <w:rPr>
                  <w:rFonts w:ascii="Cambria Math" w:hAnsi="Cambria Math"/>
                </w:rPr>
                <m:t>k-i</m:t>
              </m:r>
            </m:sub>
          </m:sSub>
          <m:sSub>
            <m:sSubPr>
              <m:ctrlPr>
                <w:rPr>
                  <w:rFonts w:ascii="Cambria Math" w:hAnsi="Cambria Math"/>
                  <w:i/>
                </w:rPr>
              </m:ctrlPr>
            </m:sSubPr>
            <m:e>
              <m:r>
                <w:rPr>
                  <w:rFonts w:ascii="Cambria Math" w:hAnsi="Cambria Math"/>
                </w:rPr>
                <m:t>S</m:t>
              </m:r>
            </m:e>
            <m:sub>
              <m:r>
                <w:rPr>
                  <w:rFonts w:ascii="Cambria Math" w:hAnsi="Cambria Math"/>
                </w:rPr>
                <m:t>k-i</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oMath>
      </m:oMathPara>
    </w:p>
    <w:p w14:paraId="4C4AD572" w14:textId="77777777" w:rsidR="00C17133" w:rsidRDefault="00C17133" w:rsidP="00C17133">
      <w:pPr>
        <w:pStyle w:val="BodyText"/>
        <w:rPr>
          <w:iCs/>
        </w:rPr>
      </w:pPr>
      <w:r>
        <w:t xml:space="preserve">PTRS are transmitted on sub-carriers </w:t>
      </w:r>
      <m:oMath>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N-1</m:t>
            </m:r>
          </m:sub>
        </m:sSub>
      </m:oMath>
      <w:r>
        <w:rPr>
          <w:iCs/>
        </w:rPr>
        <w:t xml:space="preserve">. The values of </w:t>
      </w:r>
      <m:oMath>
        <m:sSub>
          <m:sSubPr>
            <m:ctrlPr>
              <w:rPr>
                <w:rFonts w:ascii="Cambria Math" w:hAnsi="Cambria Math"/>
                <w:i/>
                <w:iCs/>
              </w:rPr>
            </m:ctrlPr>
          </m:sSubPr>
          <m:e>
            <m:r>
              <w:rPr>
                <w:rFonts w:ascii="Cambria Math" w:hAnsi="Cambria Math"/>
              </w:rPr>
              <m:t>S</m:t>
            </m:r>
          </m:e>
          <m:sub>
            <m:r>
              <w:rPr>
                <w:rFonts w:ascii="Cambria Math" w:hAnsi="Cambria Math"/>
              </w:rPr>
              <m:t>k</m:t>
            </m:r>
          </m:sub>
        </m:sSub>
      </m:oMath>
      <w:r>
        <w:rPr>
          <w:iCs/>
        </w:rPr>
        <w:t xml:space="preserve"> at these sub-carriers are hence known and can be used to estimate a de-ICI filter of </w:t>
      </w:r>
      <m:oMath>
        <m:r>
          <w:rPr>
            <w:rFonts w:ascii="Cambria Math" w:hAnsi="Cambria Math"/>
          </w:rPr>
          <m:t>2u+1</m:t>
        </m:r>
      </m:oMath>
      <w:r>
        <w:rPr>
          <w:iCs/>
        </w:rPr>
        <w:t xml:space="preserve"> taps:</w:t>
      </w:r>
    </w:p>
    <w:p w14:paraId="6DEB538C" w14:textId="77777777" w:rsidR="00C17133" w:rsidRPr="00BF01D5" w:rsidRDefault="00B04ED4" w:rsidP="00C17133">
      <w:pPr>
        <w:pStyle w:val="BodyText"/>
        <w:rPr>
          <w:iCs/>
        </w:rPr>
      </w:pPr>
      <m:oMathPara>
        <m:oMath>
          <m:nary>
            <m:naryPr>
              <m:chr m:val="∑"/>
              <m:ctrlPr>
                <w:rPr>
                  <w:rFonts w:ascii="Cambria Math" w:hAnsi="Cambria Math"/>
                  <w:i/>
                  <w:iCs/>
                </w:rPr>
              </m:ctrlPr>
            </m:naryPr>
            <m:sub>
              <m:r>
                <w:rPr>
                  <w:rFonts w:ascii="Cambria Math" w:hAnsi="Cambria Math"/>
                </w:rPr>
                <m:t>m=-u </m:t>
              </m:r>
            </m:sub>
            <m:sup>
              <m:r>
                <w:rPr>
                  <w:rFonts w:ascii="Cambria Math" w:hAnsi="Cambria Math"/>
                </w:rPr>
                <m:t>u</m:t>
              </m:r>
            </m:sup>
            <m:e>
              <m:sSub>
                <m:sSubPr>
                  <m:ctrlPr>
                    <w:rPr>
                      <w:rFonts w:ascii="Cambria Math" w:hAnsi="Cambria Math"/>
                      <w:i/>
                      <w:iCs/>
                    </w:rPr>
                  </m:ctrlPr>
                </m:sSubPr>
                <m:e>
                  <m:r>
                    <w:rPr>
                      <w:rFonts w:ascii="Cambria Math" w:hAnsi="Cambria Math"/>
                    </w:rPr>
                    <m:t>a</m:t>
                  </m:r>
                </m:e>
                <m:sub>
                  <m:r>
                    <w:rPr>
                      <w:rFonts w:ascii="Cambria Math" w:hAnsi="Cambria Math"/>
                    </w:rPr>
                    <m:t>m</m:t>
                  </m:r>
                </m:sub>
              </m:sSub>
              <m:sSub>
                <m:sSubPr>
                  <m:ctrlPr>
                    <w:rPr>
                      <w:rFonts w:ascii="Cambria Math" w:hAnsi="Cambria Math"/>
                      <w:i/>
                      <w:iCs/>
                    </w:rPr>
                  </m:ctrlPr>
                </m:sSubPr>
                <m:e>
                  <m:r>
                    <w:rPr>
                      <w:rFonts w:ascii="Cambria Math" w:hAnsi="Cambria Math"/>
                    </w:rPr>
                    <m:t>R</m:t>
                  </m:r>
                </m:e>
                <m:sub>
                  <m:r>
                    <w:rPr>
                      <w:rFonts w:ascii="Cambria Math" w:hAnsi="Cambria Math"/>
                    </w:rPr>
                    <m:t>k-m</m:t>
                  </m:r>
                </m:sub>
              </m:sSub>
              <m:r>
                <w:rPr>
                  <w:rFonts w:ascii="Cambria Math" w:hAnsi="Cambria Math"/>
                </w:rPr>
                <m:t>≈</m:t>
              </m:r>
              <m:sSub>
                <m:sSubPr>
                  <m:ctrlPr>
                    <w:rPr>
                      <w:rFonts w:ascii="Cambria Math" w:hAnsi="Cambria Math"/>
                      <w:i/>
                      <w:iCs/>
                    </w:rPr>
                  </m:ctrlPr>
                </m:sSubPr>
                <m:e>
                  <m:r>
                    <w:rPr>
                      <w:rFonts w:ascii="Cambria Math" w:hAnsi="Cambria Math"/>
                    </w:rPr>
                    <m:t>H</m:t>
                  </m:r>
                </m:e>
                <m:sub>
                  <m:r>
                    <w:rPr>
                      <w:rFonts w:ascii="Cambria Math" w:hAnsi="Cambria Math"/>
                    </w:rPr>
                    <m:t>k</m:t>
                  </m:r>
                </m:sub>
              </m:sSub>
              <m:sSub>
                <m:sSubPr>
                  <m:ctrlPr>
                    <w:rPr>
                      <w:rFonts w:ascii="Cambria Math" w:hAnsi="Cambria Math"/>
                      <w:i/>
                      <w:iCs/>
                    </w:rPr>
                  </m:ctrlPr>
                </m:sSubPr>
                <m:e>
                  <m:r>
                    <w:rPr>
                      <w:rFonts w:ascii="Cambria Math" w:hAnsi="Cambria Math"/>
                    </w:rPr>
                    <m:t>S</m:t>
                  </m:r>
                </m:e>
                <m:sub>
                  <m:r>
                    <w:rPr>
                      <w:rFonts w:ascii="Cambria Math" w:hAnsi="Cambria Math"/>
                    </w:rPr>
                    <m:t>k</m:t>
                  </m:r>
                </m:sub>
              </m:sSub>
            </m:e>
          </m:nary>
          <m:r>
            <m:rPr>
              <m:sty m:val="p"/>
            </m:rPr>
            <w:rPr>
              <w:rFonts w:ascii="Cambria Math" w:hAnsi="Cambria Math"/>
            </w:rPr>
            <m:t xml:space="preserve"> for </m:t>
          </m:r>
          <m:r>
            <w:rPr>
              <w:rFonts w:ascii="Cambria Math" w:hAnsi="Cambria Math"/>
            </w:rPr>
            <m:t>k∈</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m:t>
          </m:r>
        </m:oMath>
      </m:oMathPara>
    </w:p>
    <w:p w14:paraId="77F11997" w14:textId="77777777" w:rsidR="00C17133" w:rsidRDefault="00C17133" w:rsidP="00C17133">
      <w:pPr>
        <w:pStyle w:val="BodyText"/>
      </w:pPr>
      <w:r>
        <w:t xml:space="preserve">For </w:t>
      </w:r>
      <m:oMath>
        <m:r>
          <w:rPr>
            <w:rFonts w:ascii="Cambria Math" w:hAnsi="Cambria Math"/>
          </w:rPr>
          <m:t>u=0</m:t>
        </m:r>
      </m:oMath>
      <w:r>
        <w:t>, the de-ICI filter reduces to single-tap common phase error (CPE) compensation:</w:t>
      </w:r>
    </w:p>
    <w:p w14:paraId="4D41D137" w14:textId="23F76DE2" w:rsidR="00D8694E" w:rsidRDefault="00B04ED4" w:rsidP="00D8694E">
      <w:pPr>
        <w:pStyle w:val="BodyText"/>
      </w:pPr>
      <m:oMathPara>
        <m:oMath>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0</m:t>
              </m:r>
            </m:sub>
          </m:sSub>
          <m:r>
            <w:rPr>
              <w:rFonts w:ascii="Cambria Math" w:hAnsi="Cambria Math"/>
            </w:rPr>
            <m:t>=</m:t>
          </m:r>
          <m:limLow>
            <m:limLowPr>
              <m:ctrlPr>
                <w:rPr>
                  <w:rFonts w:ascii="Cambria Math" w:hAnsi="Cambria Math"/>
                  <w:iCs/>
                </w:rPr>
              </m:ctrlPr>
            </m:limLowPr>
            <m:e>
              <m:r>
                <m:rPr>
                  <m:sty m:val="p"/>
                </m:rPr>
                <w:rPr>
                  <w:rFonts w:ascii="Cambria Math" w:hAnsi="Cambria Math"/>
                </w:rPr>
                <m:t>argmin</m:t>
              </m:r>
            </m:e>
            <m:lim>
              <m:sSub>
                <m:sSubPr>
                  <m:ctrlPr>
                    <w:rPr>
                      <w:rFonts w:ascii="Cambria Math" w:hAnsi="Cambria Math"/>
                      <w:i/>
                      <w:iCs/>
                    </w:rPr>
                  </m:ctrlPr>
                </m:sSubPr>
                <m:e>
                  <m:r>
                    <w:rPr>
                      <w:rFonts w:ascii="Cambria Math" w:hAnsi="Cambria Math"/>
                    </w:rPr>
                    <m:t>a</m:t>
                  </m:r>
                </m:e>
                <m:sub>
                  <m:r>
                    <w:rPr>
                      <w:rFonts w:ascii="Cambria Math" w:hAnsi="Cambria Math"/>
                    </w:rPr>
                    <m:t>0</m:t>
                  </m:r>
                </m:sub>
              </m:sSub>
            </m:lim>
          </m:limLow>
          <m:sSup>
            <m:sSupPr>
              <m:ctrlPr>
                <w:rPr>
                  <w:rFonts w:ascii="Cambria Math" w:hAnsi="Cambria Math"/>
                  <w:i/>
                </w:rPr>
              </m:ctrlPr>
            </m:sSupPr>
            <m:e>
              <m:d>
                <m:dPr>
                  <m:begChr m:val="‖"/>
                  <m:endChr m:val="‖"/>
                  <m:ctrlPr>
                    <w:rPr>
                      <w:rFonts w:ascii="Cambria Math" w:hAnsi="Cambria Math"/>
                      <w:i/>
                    </w:rPr>
                  </m:ctrlPr>
                </m:d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e>
                        </m:mr>
                        <m:mr>
                          <m:e>
                            <m:r>
                              <m:rPr>
                                <m:sty m:val="bi"/>
                              </m:rPr>
                              <w:rPr>
                                <w:rFonts w:ascii="Cambria Math" w:hAnsi="Cambria Math"/>
                              </w:rPr>
                              <m:t>⋮</m:t>
                            </m:r>
                          </m:e>
                        </m:mr>
                        <m:mr>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e>
                        </m:mr>
                      </m:m>
                    </m:e>
                  </m:d>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b/>
                                  <w:bCs/>
                                  <w:i/>
                                  <w:iCs/>
                                </w:rPr>
                              </m:ctrlPr>
                            </m:sSubPr>
                            <m:e>
                              <m:r>
                                <w:rPr>
                                  <w:rFonts w:ascii="Cambria Math" w:hAnsi="Cambria Math"/>
                                </w:rPr>
                                <m:t>H</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sSub>
                            <m:sSubPr>
                              <m:ctrlPr>
                                <w:rPr>
                                  <w:rFonts w:ascii="Cambria Math" w:hAnsi="Cambria Math"/>
                                  <w:b/>
                                  <w:bCs/>
                                  <w:i/>
                                  <w:iCs/>
                                </w:rPr>
                              </m:ctrlPr>
                            </m:sSubPr>
                            <m:e>
                              <m:r>
                                <w:rPr>
                                  <w:rFonts w:ascii="Cambria Math" w:hAnsi="Cambria Math"/>
                                </w:rPr>
                                <m:t>S</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ctrlPr>
                            <w:rPr>
                              <w:rFonts w:ascii="Cambria Math" w:hAnsi="Cambria Math"/>
                              <w:b/>
                              <w:bCs/>
                              <w:i/>
                              <w:iCs/>
                            </w:rPr>
                          </m:ctrlPr>
                        </m:e>
                        <m:e>
                          <m:r>
                            <m:rPr>
                              <m:sty m:val="bi"/>
                            </m:rPr>
                            <w:rPr>
                              <w:rFonts w:ascii="Cambria Math" w:hAnsi="Cambria Math"/>
                            </w:rPr>
                            <m:t>⋮</m:t>
                          </m:r>
                          <m:ctrlPr>
                            <w:rPr>
                              <w:rFonts w:ascii="Cambria Math" w:eastAsia="Cambria Math" w:hAnsi="Cambria Math" w:cs="Cambria Math"/>
                              <w:b/>
                              <w:bCs/>
                              <w:i/>
                              <w:iCs/>
                            </w:rPr>
                          </m:ctrlPr>
                        </m:e>
                        <m:e>
                          <m:sSub>
                            <m:sSubPr>
                              <m:ctrlPr>
                                <w:rPr>
                                  <w:rFonts w:ascii="Cambria Math" w:hAnsi="Cambria Math"/>
                                  <w:i/>
                                  <w:iCs/>
                                </w:rPr>
                              </m:ctrlPr>
                            </m:sSubPr>
                            <m:e>
                              <m:r>
                                <w:rPr>
                                  <w:rFonts w:ascii="Cambria Math" w:hAnsi="Cambria Math"/>
                                </w:rPr>
                                <m:t>H</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sSub>
                            <m:sSubPr>
                              <m:ctrlPr>
                                <w:rPr>
                                  <w:rFonts w:ascii="Cambria Math" w:hAnsi="Cambria Math"/>
                                  <w:i/>
                                  <w:iCs/>
                                </w:rPr>
                              </m:ctrlPr>
                            </m:sSubPr>
                            <m:e>
                              <m:r>
                                <w:rPr>
                                  <w:rFonts w:ascii="Cambria Math" w:hAnsi="Cambria Math"/>
                                </w:rPr>
                                <m:t>S</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ctrlPr>
                            <w:rPr>
                              <w:rFonts w:ascii="Cambria Math" w:hAnsi="Cambria Math"/>
                              <w:b/>
                              <w:bCs/>
                              <w:i/>
                              <w:iCs/>
                            </w:rPr>
                          </m:ctrlPr>
                        </m:e>
                      </m:eqArr>
                    </m:e>
                  </m:d>
                </m:e>
              </m:d>
            </m:e>
            <m:sup>
              <m:r>
                <w:rPr>
                  <w:rFonts w:ascii="Cambria Math" w:hAnsi="Cambria Math"/>
                </w:rPr>
                <m:t>2</m:t>
              </m:r>
            </m:sup>
          </m:sSup>
          <m:r>
            <w:rPr>
              <w:rFonts w:ascii="Cambria Math" w:hAnsi="Cambria Math"/>
            </w:rPr>
            <m:t xml:space="preserve">≜ </m:t>
          </m:r>
          <m:limLow>
            <m:limLowPr>
              <m:ctrlPr>
                <w:rPr>
                  <w:rFonts w:ascii="Cambria Math" w:hAnsi="Cambria Math"/>
                  <w:iCs/>
                </w:rPr>
              </m:ctrlPr>
            </m:limLowPr>
            <m:e>
              <m:r>
                <m:rPr>
                  <m:sty m:val="p"/>
                </m:rPr>
                <w:rPr>
                  <w:rFonts w:ascii="Cambria Math" w:hAnsi="Cambria Math"/>
                </w:rPr>
                <m:t>argmin</m:t>
              </m:r>
            </m:e>
            <m:lim>
              <m:sSub>
                <m:sSubPr>
                  <m:ctrlPr>
                    <w:rPr>
                      <w:rFonts w:ascii="Cambria Math" w:hAnsi="Cambria Math"/>
                      <w:i/>
                      <w:iCs/>
                    </w:rPr>
                  </m:ctrlPr>
                </m:sSubPr>
                <m:e>
                  <m:r>
                    <w:rPr>
                      <w:rFonts w:ascii="Cambria Math" w:hAnsi="Cambria Math"/>
                    </w:rPr>
                    <m:t>a</m:t>
                  </m:r>
                </m:e>
                <m:sub>
                  <m:r>
                    <w:rPr>
                      <w:rFonts w:ascii="Cambria Math" w:hAnsi="Cambria Math"/>
                    </w:rPr>
                    <m:t>0</m:t>
                  </m:r>
                </m:sub>
              </m:sSub>
            </m:lim>
          </m:limLow>
          <m:r>
            <w:rPr>
              <w:rFonts w:ascii="Cambria Math" w:hAnsi="Cambria Math"/>
            </w:rPr>
            <m:t xml:space="preserve"> </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m:rPr>
                          <m:sty m:val="b"/>
                        </m:rPr>
                        <w:rPr>
                          <w:rFonts w:ascii="Cambria Math" w:hAnsi="Cambria Math"/>
                        </w:rPr>
                        <m:t>r</m:t>
                      </m:r>
                    </m:e>
                    <m:sub>
                      <m:r>
                        <w:rPr>
                          <w:rFonts w:ascii="Cambria Math" w:hAnsi="Cambria Math"/>
                        </w:rPr>
                        <m:t>0</m:t>
                      </m:r>
                    </m:sub>
                  </m:sSub>
                  <m:sSub>
                    <m:sSubPr>
                      <m:ctrlPr>
                        <w:rPr>
                          <w:rFonts w:ascii="Cambria Math" w:hAnsi="Cambria Math"/>
                          <w:i/>
                        </w:rPr>
                      </m:ctrlPr>
                    </m:sSubPr>
                    <m:e>
                      <m:r>
                        <w:rPr>
                          <w:rFonts w:ascii="Cambria Math" w:hAnsi="Cambria Math"/>
                        </w:rPr>
                        <m:t>a</m:t>
                      </m:r>
                    </m:e>
                    <m:sub>
                      <m:r>
                        <w:rPr>
                          <w:rFonts w:ascii="Cambria Math" w:hAnsi="Cambria Math"/>
                        </w:rPr>
                        <m:t>0</m:t>
                      </m:r>
                    </m:sub>
                  </m:sSub>
                  <m:r>
                    <w:rPr>
                      <w:rFonts w:ascii="Cambria Math" w:hAnsi="Cambria Math"/>
                    </w:rPr>
                    <m:t>-</m:t>
                  </m:r>
                  <m:r>
                    <m:rPr>
                      <m:sty m:val="b"/>
                    </m:rPr>
                    <w:rPr>
                      <w:rFonts w:ascii="Cambria Math" w:hAnsi="Cambria Math"/>
                    </w:rPr>
                    <m:t>x</m:t>
                  </m:r>
                </m:e>
              </m:d>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bSup>
                    <m:sSubSupPr>
                      <m:ctrlPr>
                        <w:rPr>
                          <w:rFonts w:ascii="Cambria Math" w:hAnsi="Cambria Math"/>
                          <w:i/>
                        </w:rPr>
                      </m:ctrlPr>
                    </m:sSubSupPr>
                    <m:e>
                      <m:r>
                        <m:rPr>
                          <m:sty m:val="b"/>
                        </m:rPr>
                        <w:rPr>
                          <w:rFonts w:ascii="Cambria Math" w:hAnsi="Cambria Math"/>
                        </w:rPr>
                        <m:t>r</m:t>
                      </m:r>
                    </m:e>
                    <m:sub>
                      <m:r>
                        <w:rPr>
                          <w:rFonts w:ascii="Cambria Math" w:hAnsi="Cambria Math"/>
                        </w:rPr>
                        <m:t>0</m:t>
                      </m:r>
                    </m:sub>
                    <m:sup>
                      <m:r>
                        <w:rPr>
                          <w:rFonts w:ascii="Cambria Math" w:hAnsi="Cambria Math"/>
                        </w:rPr>
                        <m:t>H</m:t>
                      </m:r>
                    </m:sup>
                  </m:sSubSup>
                  <m:sSub>
                    <m:sSubPr>
                      <m:ctrlPr>
                        <w:rPr>
                          <w:rFonts w:ascii="Cambria Math" w:hAnsi="Cambria Math"/>
                          <w:i/>
                        </w:rPr>
                      </m:ctrlPr>
                    </m:sSubPr>
                    <m:e>
                      <m:r>
                        <m:rPr>
                          <m:sty m:val="b"/>
                        </m:rPr>
                        <w:rPr>
                          <w:rFonts w:ascii="Cambria Math" w:hAnsi="Cambria Math"/>
                        </w:rPr>
                        <m:t>r</m:t>
                      </m:r>
                    </m:e>
                    <m:sub>
                      <m:r>
                        <w:rPr>
                          <w:rFonts w:ascii="Cambria Math" w:hAnsi="Cambria Math"/>
                        </w:rPr>
                        <m:t>0</m:t>
                      </m:r>
                    </m:sub>
                  </m:sSub>
                </m:e>
              </m:d>
            </m:e>
            <m:sup>
              <m:r>
                <w:rPr>
                  <w:rFonts w:ascii="Cambria Math" w:hAnsi="Cambria Math"/>
                </w:rPr>
                <m:t>-1</m:t>
              </m:r>
            </m:sup>
          </m:sSup>
          <m:sSubSup>
            <m:sSubSupPr>
              <m:ctrlPr>
                <w:rPr>
                  <w:rFonts w:ascii="Cambria Math" w:hAnsi="Cambria Math"/>
                  <w:i/>
                </w:rPr>
              </m:ctrlPr>
            </m:sSubSupPr>
            <m:e>
              <m:r>
                <m:rPr>
                  <m:sty m:val="b"/>
                </m:rPr>
                <w:rPr>
                  <w:rFonts w:ascii="Cambria Math" w:hAnsi="Cambria Math"/>
                </w:rPr>
                <m:t>r</m:t>
              </m:r>
            </m:e>
            <m:sub>
              <m:r>
                <w:rPr>
                  <w:rFonts w:ascii="Cambria Math" w:hAnsi="Cambria Math"/>
                </w:rPr>
                <m:t>0</m:t>
              </m:r>
            </m:sub>
            <m:sup>
              <m:r>
                <w:rPr>
                  <w:rFonts w:ascii="Cambria Math" w:hAnsi="Cambria Math"/>
                </w:rPr>
                <m:t>H</m:t>
              </m:r>
            </m:sup>
          </m:sSubSup>
          <m:r>
            <m:rPr>
              <m:sty m:val="b"/>
            </m:rPr>
            <w:rPr>
              <w:rFonts w:ascii="Cambria Math" w:hAnsi="Cambria Math"/>
            </w:rPr>
            <m:t>x</m:t>
          </m:r>
          <m:r>
            <w:rPr>
              <w:rFonts w:ascii="Cambria Math" w:hAnsi="Cambria Math"/>
            </w:rPr>
            <m:t>.</m:t>
          </m:r>
        </m:oMath>
      </m:oMathPara>
    </w:p>
    <w:p w14:paraId="152F1D9C" w14:textId="77777777" w:rsidR="00C17133" w:rsidRDefault="00C17133" w:rsidP="00C17133">
      <w:pPr>
        <w:pStyle w:val="BodyText"/>
      </w:pPr>
      <w:r>
        <w:lastRenderedPageBreak/>
        <w:t xml:space="preserve">For ICI compensation, we use </w:t>
      </w:r>
      <m:oMath>
        <m:r>
          <w:rPr>
            <w:rFonts w:ascii="Cambria Math" w:hAnsi="Cambria Math"/>
          </w:rPr>
          <m:t>u=1</m:t>
        </m:r>
      </m:oMath>
      <w:r>
        <w:t xml:space="preserve"> in this contribution. The 3-tap de-ICI filter can be obtained from minimizing the residue sum of squares:</w:t>
      </w:r>
    </w:p>
    <w:p w14:paraId="4B8FB2BA" w14:textId="5BB762DE" w:rsidR="00C17133" w:rsidRDefault="00B04ED4" w:rsidP="00C17133">
      <w:pPr>
        <w:pStyle w:val="BodyText"/>
      </w:pPr>
      <m:oMathPara>
        <m:oMath>
          <m:sSup>
            <m:sSupPr>
              <m:ctrlPr>
                <w:rPr>
                  <w:rFonts w:ascii="Cambria Math" w:hAnsi="Cambria Math"/>
                  <w:b/>
                  <w:bCs/>
                  <w:i/>
                  <w:iCs/>
                </w:rPr>
              </m:ctrlPr>
            </m:sSupPr>
            <m:e>
              <m:d>
                <m:dPr>
                  <m:begChr m:val="‖"/>
                  <m:endChr m:val="‖"/>
                  <m:ctrlPr>
                    <w:rPr>
                      <w:rFonts w:ascii="Cambria Math" w:hAnsi="Cambria Math"/>
                      <w:b/>
                      <w:bCs/>
                      <w:i/>
                      <w:iCs/>
                    </w:rPr>
                  </m:ctrlPr>
                </m:dPr>
                <m:e>
                  <m:d>
                    <m:dPr>
                      <m:begChr m:val="["/>
                      <m:endChr m:val="]"/>
                      <m:ctrlPr>
                        <w:rPr>
                          <w:rFonts w:ascii="Cambria Math" w:hAnsi="Cambria Math"/>
                          <w:b/>
                          <w:bCs/>
                          <w:i/>
                          <w:iCs/>
                        </w:rPr>
                      </m:ctrlPr>
                    </m:dPr>
                    <m:e>
                      <m:m>
                        <m:mPr>
                          <m:mcs>
                            <m:mc>
                              <m:mcPr>
                                <m:count m:val="3"/>
                                <m:mcJc m:val="center"/>
                              </m:mcPr>
                            </m:mc>
                          </m:mcs>
                          <m:ctrlPr>
                            <w:rPr>
                              <w:rFonts w:ascii="Cambria Math" w:hAnsi="Cambria Math"/>
                              <w:b/>
                              <w:bCs/>
                              <w:i/>
                              <w:iCs/>
                            </w:rPr>
                          </m:ctrlPr>
                        </m:mPr>
                        <m:mr>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+1</m:t>
                                </m:r>
                              </m:sub>
                            </m:sSub>
                          </m:e>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sub>
                            </m:sSub>
                          </m:e>
                          <m:e>
                            <m:sSub>
                              <m:sSubPr>
                                <m:ctrlPr>
                                  <w:rPr>
                                    <w:rFonts w:ascii="Cambria Math" w:hAnsi="Cambria Math"/>
                                    <w:b/>
                                    <w:bCs/>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-1</m:t>
                                </m:r>
                              </m:sub>
                            </m:sSub>
                          </m:e>
                        </m:mr>
                        <m:mr>
                          <m:e>
                            <m:r>
                              <m:rPr>
                                <m:sty m:val="bi"/>
                              </m:rPr>
                              <w:rPr>
                                <w:rFonts w:ascii="Cambria Math" w:hAnsi="Cambria Math"/>
                              </w:rPr>
                              <m:t>⋮</m:t>
                            </m:r>
                          </m:e>
                          <m:e>
                            <m:r>
                              <m:rPr>
                                <m:sty m:val="bi"/>
                              </m:rPr>
                              <w:rPr>
                                <w:rFonts w:ascii="Cambria Math" w:hAnsi="Cambria Math"/>
                              </w:rPr>
                              <m:t>⋮</m:t>
                            </m:r>
                          </m:e>
                          <m:e>
                            <m:r>
                              <m:rPr>
                                <m:sty m:val="bi"/>
                              </m:rPr>
                              <w:rPr>
                                <w:rFonts w:ascii="Cambria Math" w:hAnsi="Cambria Math"/>
                              </w:rPr>
                              <m:t>⋮</m:t>
                            </m:r>
                          </m:e>
                        </m:mr>
                        <m:mr>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+1</m:t>
                                </m:r>
                              </m:sub>
                            </m:sSub>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sub>
                            </m:sSub>
                          </m:e>
                          <m:e>
                            <m:sSub>
                              <m:sSubPr>
                                <m:ctrlPr>
                                  <w:rPr>
                                    <w:rFonts w:ascii="Cambria Math" w:hAnsi="Cambria Math"/>
                                    <w:i/>
                                    <w:iCs/>
                                  </w:rPr>
                                </m:ctrlPr>
                              </m:sSubPr>
                              <m:e>
                                <m:r>
                                  <w:rPr>
                                    <w:rFonts w:ascii="Cambria Math" w:hAnsi="Cambria Math"/>
                                  </w:rPr>
                                  <m:t>R</m:t>
                                </m:r>
                              </m:e>
                              <m:sub>
                                <m:sSub>
                                  <m:sSubPr>
                                    <m:ctrlPr>
                                      <w:rPr>
                                        <w:rFonts w:ascii="Cambria Math" w:hAnsi="Cambria Math"/>
                                        <w:i/>
                                        <w:iCs/>
                                      </w:rPr>
                                    </m:ctrlPr>
                                  </m:sSubPr>
                                  <m:e>
                                    <m:r>
                                      <w:rPr>
                                        <w:rFonts w:ascii="Cambria Math" w:hAnsi="Cambria Math"/>
                                      </w:rPr>
                                      <m:t>k</m:t>
                                    </m:r>
                                  </m:e>
                                  <m:sub>
                                    <m:r>
                                      <w:rPr>
                                        <w:rFonts w:ascii="Cambria Math" w:hAnsi="Cambria Math"/>
                                      </w:rPr>
                                      <m:t>N-1</m:t>
                                    </m:r>
                                  </m:sub>
                                </m:sSub>
                                <m:r>
                                  <w:rPr>
                                    <w:rFonts w:ascii="Cambria Math" w:hAnsi="Cambria Math"/>
                                  </w:rPr>
                                  <m:t>-1</m:t>
                                </m:r>
                              </m:sub>
                            </m:sSub>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m:t>
                                </m:r>
                              </m:sub>
                            </m:sSub>
                          </m:e>
                        </m:mr>
                        <m:mr>
                          <m:e>
                            <m:sSub>
                              <m:sSubPr>
                                <m:ctrlPr>
                                  <w:rPr>
                                    <w:rFonts w:ascii="Cambria Math" w:hAnsi="Cambria Math"/>
                                    <w:i/>
                                  </w:rPr>
                                </m:ctrlPr>
                              </m:sSubPr>
                              <m:e>
                                <m:r>
                                  <w:rPr>
                                    <w:rFonts w:ascii="Cambria Math" w:hAnsi="Cambria Math"/>
                                  </w:rPr>
                                  <m:t>a</m:t>
                                </m:r>
                              </m:e>
                              <m:sub>
                                <m:r>
                                  <w:rPr>
                                    <w:rFonts w:ascii="Cambria Math" w:hAnsi="Cambria Math"/>
                                  </w:rPr>
                                  <m:t>0</m:t>
                                </m:r>
                              </m:sub>
                            </m:sSub>
                          </m:e>
                        </m:mr>
                        <m:mr>
                          <m:e>
                            <m:sSub>
                              <m:sSubPr>
                                <m:ctrlPr>
                                  <w:rPr>
                                    <w:rFonts w:ascii="Cambria Math" w:hAnsi="Cambria Math"/>
                                    <w:i/>
                                  </w:rPr>
                                </m:ctrlPr>
                              </m:sSubPr>
                              <m:e>
                                <m:r>
                                  <w:rPr>
                                    <w:rFonts w:ascii="Cambria Math" w:hAnsi="Cambria Math"/>
                                  </w:rPr>
                                  <m:t>a</m:t>
                                </m:r>
                              </m:e>
                              <m:sub>
                                <m:r>
                                  <w:rPr>
                                    <w:rFonts w:ascii="Cambria Math" w:hAnsi="Cambria Math"/>
                                  </w:rPr>
                                  <m:t>1</m:t>
                                </m:r>
                              </m:sub>
                            </m:sSub>
                          </m:e>
                        </m:mr>
                      </m:m>
                    </m:e>
                  </m:d>
                  <m:r>
                    <w:rPr>
                      <w:rFonts w:ascii="Cambria Math" w:hAnsi="Cambria Math"/>
                    </w:rPr>
                    <m:t>-</m:t>
                  </m:r>
                  <m:r>
                    <m:rPr>
                      <m:sty m:val="b"/>
                    </m:rPr>
                    <w:rPr>
                      <w:rFonts w:ascii="Cambria Math" w:hAnsi="Cambria Math"/>
                    </w:rPr>
                    <m:t>x</m:t>
                  </m:r>
                </m:e>
              </m:d>
            </m:e>
            <m:sup>
              <m:r>
                <w:rPr>
                  <w:rFonts w:ascii="Cambria Math" w:hAnsi="Cambria Math"/>
                </w:rPr>
                <m:t>2</m:t>
              </m:r>
            </m:sup>
          </m:sSup>
          <m:r>
            <m:rPr>
              <m:sty m:val="bi"/>
            </m:rPr>
            <w:rPr>
              <w:rFonts w:ascii="Cambria Math" w:hAnsi="Cambria Math"/>
            </w:rPr>
            <m:t>≜</m:t>
          </m:r>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rPr>
                      </m:ctrlPr>
                    </m:sSubPr>
                    <m:e>
                      <m:r>
                        <m:rPr>
                          <m:sty m:val="b"/>
                        </m:rPr>
                        <w:rPr>
                          <w:rFonts w:ascii="Cambria Math" w:hAnsi="Cambria Math"/>
                        </w:rPr>
                        <m:t>R</m:t>
                      </m:r>
                    </m:e>
                    <m:sub>
                      <m:r>
                        <m:rPr>
                          <m:sty m:val="p"/>
                        </m:rPr>
                        <w:rPr>
                          <w:rFonts w:ascii="Cambria Math" w:hAnsi="Cambria Math"/>
                        </w:rPr>
                        <m:t>1</m:t>
                      </m:r>
                    </m:sub>
                  </m:sSub>
                  <m:r>
                    <m:rPr>
                      <m:sty m:val="b"/>
                    </m:rPr>
                    <w:rPr>
                      <w:rFonts w:ascii="Cambria Math" w:hAnsi="Cambria Math"/>
                    </w:rPr>
                    <m:t>a</m:t>
                  </m:r>
                  <m:r>
                    <m:rPr>
                      <m:sty m:val="bi"/>
                    </m:rPr>
                    <w:rPr>
                      <w:rFonts w:ascii="Cambria Math" w:hAnsi="Cambria Math"/>
                    </w:rPr>
                    <m:t>-</m:t>
                  </m:r>
                  <m:r>
                    <m:rPr>
                      <m:sty m:val="b"/>
                    </m:rPr>
                    <w:rPr>
                      <w:rFonts w:ascii="Cambria Math" w:hAnsi="Cambria Math"/>
                    </w:rPr>
                    <m:t>x</m:t>
                  </m:r>
                </m:e>
              </m:d>
            </m:e>
            <m:sup>
              <m:r>
                <w:rPr>
                  <w:rFonts w:ascii="Cambria Math" w:hAnsi="Cambria Math"/>
                </w:rPr>
                <m:t>2</m:t>
              </m:r>
            </m:sup>
          </m:sSup>
          <m:r>
            <m:rPr>
              <m:sty m:val="bi"/>
            </m:rPr>
            <w:rPr>
              <w:rFonts w:ascii="Cambria Math" w:hAnsi="Cambria Math"/>
            </w:rPr>
            <m:t>.</m:t>
          </m:r>
        </m:oMath>
      </m:oMathPara>
    </w:p>
    <w:p w14:paraId="62C8673B" w14:textId="77777777" w:rsidR="00C17133" w:rsidRDefault="00C17133" w:rsidP="00C17133">
      <w:pPr>
        <w:pStyle w:val="BodyText"/>
      </w:pPr>
      <w:r>
        <w:t>This is a simple least square problem with solution given by</w:t>
      </w:r>
    </w:p>
    <w:p w14:paraId="3D2D1E39" w14:textId="0B8F2419" w:rsidR="00C17133" w:rsidRDefault="00B04ED4" w:rsidP="00C17133">
      <w:pPr>
        <w:pStyle w:val="BodyText"/>
        <w:rPr>
          <w:b/>
          <w:bCs/>
          <w:u w:val="single"/>
        </w:rPr>
      </w:pPr>
      <m:oMathPara>
        <m:oMath>
          <m:acc>
            <m:accPr>
              <m:ctrlPr>
                <w:rPr>
                  <w:rFonts w:ascii="Cambria Math" w:hAnsi="Cambria Math"/>
                  <w:b/>
                  <w:bCs/>
                  <w:i/>
                  <w:iCs/>
                </w:rPr>
              </m:ctrlPr>
            </m:accPr>
            <m:e>
              <m:r>
                <m:rPr>
                  <m:sty m:val="b"/>
                </m:rPr>
                <w:rPr>
                  <w:rFonts w:ascii="Cambria Math" w:hAnsi="Cambria Math"/>
                </w:rPr>
                <m:t>a</m:t>
              </m:r>
            </m:e>
          </m:acc>
          <m:r>
            <m:rPr>
              <m:sty m:val="bi"/>
            </m:rPr>
            <w:rPr>
              <w:rFonts w:ascii="Cambria Math" w:hAnsi="Cambria Math"/>
            </w:rPr>
            <m:t>=</m:t>
          </m:r>
          <m:sSup>
            <m:sSupPr>
              <m:ctrlPr>
                <w:rPr>
                  <w:rFonts w:ascii="Cambria Math" w:hAnsi="Cambria Math"/>
                  <w:b/>
                  <w:bCs/>
                  <w:i/>
                  <w:iCs/>
                </w:rPr>
              </m:ctrlPr>
            </m:sSupPr>
            <m:e>
              <m:d>
                <m:dPr>
                  <m:ctrlPr>
                    <w:rPr>
                      <w:rFonts w:ascii="Cambria Math" w:hAnsi="Cambria Math"/>
                      <w:b/>
                      <w:bCs/>
                      <w:i/>
                      <w:iCs/>
                    </w:rPr>
                  </m:ctrlPr>
                </m:dPr>
                <m:e>
                  <m:sSubSup>
                    <m:sSubSupPr>
                      <m:ctrlPr>
                        <w:rPr>
                          <w:rFonts w:ascii="Cambria Math" w:hAnsi="Cambria Math"/>
                          <w:b/>
                          <w:bCs/>
                        </w:rPr>
                      </m:ctrlPr>
                    </m:sSubSupPr>
                    <m:e>
                      <m:r>
                        <m:rPr>
                          <m:sty m:val="b"/>
                        </m:rPr>
                        <w:rPr>
                          <w:rFonts w:ascii="Cambria Math" w:hAnsi="Cambria Math"/>
                        </w:rPr>
                        <m:t>R</m:t>
                      </m:r>
                    </m:e>
                    <m:sub>
                      <m:r>
                        <w:rPr>
                          <w:rFonts w:ascii="Cambria Math" w:hAnsi="Cambria Math"/>
                        </w:rPr>
                        <m:t>1</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R</m:t>
                      </m:r>
                    </m:e>
                    <m:sub>
                      <m:r>
                        <m:rPr>
                          <m:sty m:val="p"/>
                        </m:rPr>
                        <w:rPr>
                          <w:rFonts w:ascii="Cambria Math" w:hAnsi="Cambria Math"/>
                        </w:rPr>
                        <m:t>1</m:t>
                      </m:r>
                    </m:sub>
                  </m:sSub>
                </m:e>
              </m:d>
            </m:e>
            <m:sup>
              <m:r>
                <w:rPr>
                  <w:rFonts w:ascii="Cambria Math" w:hAnsi="Cambria Math"/>
                </w:rPr>
                <m:t>-1</m:t>
              </m:r>
            </m:sup>
          </m:sSup>
          <m:sSubSup>
            <m:sSubSupPr>
              <m:ctrlPr>
                <w:rPr>
                  <w:rFonts w:ascii="Cambria Math" w:hAnsi="Cambria Math"/>
                  <w:b/>
                  <w:bCs/>
                </w:rPr>
              </m:ctrlPr>
            </m:sSubSupPr>
            <m:e>
              <m:r>
                <m:rPr>
                  <m:sty m:val="b"/>
                </m:rPr>
                <w:rPr>
                  <w:rFonts w:ascii="Cambria Math" w:hAnsi="Cambria Math"/>
                </w:rPr>
                <m:t>R</m:t>
              </m:r>
            </m:e>
            <m:sub>
              <m:r>
                <m:rPr>
                  <m:sty m:val="p"/>
                </m:rPr>
                <w:rPr>
                  <w:rFonts w:ascii="Cambria Math" w:hAnsi="Cambria Math"/>
                </w:rPr>
                <m:t>1</m:t>
              </m:r>
            </m:sub>
            <m:sup>
              <m:r>
                <w:rPr>
                  <w:rFonts w:ascii="Cambria Math" w:hAnsi="Cambria Math"/>
                </w:rPr>
                <m:t>H</m:t>
              </m:r>
              <m:ctrlPr>
                <w:rPr>
                  <w:rFonts w:ascii="Cambria Math" w:hAnsi="Cambria Math"/>
                </w:rPr>
              </m:ctrlPr>
            </m:sup>
          </m:sSubSup>
          <m:r>
            <m:rPr>
              <m:sty m:val="b"/>
            </m:rPr>
            <w:rPr>
              <w:rFonts w:ascii="Cambria Math" w:hAnsi="Cambria Math"/>
            </w:rPr>
            <m:t>x</m:t>
          </m:r>
          <m:r>
            <w:rPr>
              <w:rFonts w:ascii="Cambria Math" w:hAnsi="Cambria Math"/>
            </w:rPr>
            <m:t>.</m:t>
          </m:r>
          <m:r>
            <m:rPr>
              <m:sty m:val="p"/>
            </m:rPr>
            <w:rPr>
              <w:rFonts w:ascii="Cambria Math" w:hAnsi="Cambria Math"/>
            </w:rPr>
            <m:t xml:space="preserve"> </m:t>
          </m:r>
        </m:oMath>
      </m:oMathPara>
    </w:p>
    <w:p w14:paraId="42AA32CD" w14:textId="64F8C06D" w:rsidR="00A9342D" w:rsidRDefault="00FB4698" w:rsidP="000E48E2">
      <w:pPr>
        <w:pStyle w:val="BodyText"/>
        <w:rPr>
          <w:lang w:val="en-GB"/>
        </w:rPr>
      </w:pPr>
      <w:r>
        <w:t xml:space="preserve">Note that </w:t>
      </w:r>
      <m:oMath>
        <m:sSubSup>
          <m:sSubSupPr>
            <m:ctrlPr>
              <w:rPr>
                <w:rFonts w:ascii="Cambria Math" w:hAnsi="Cambria Math"/>
                <w:b/>
                <w:bCs/>
              </w:rPr>
            </m:ctrlPr>
          </m:sSubSupPr>
          <m:e>
            <m:r>
              <m:rPr>
                <m:sty m:val="b"/>
              </m:rPr>
              <w:rPr>
                <w:rFonts w:ascii="Cambria Math" w:hAnsi="Cambria Math"/>
              </w:rPr>
              <m:t>R</m:t>
            </m:r>
          </m:e>
          <m:sub>
            <m:r>
              <w:rPr>
                <w:rFonts w:ascii="Cambria Math" w:hAnsi="Cambria Math"/>
              </w:rPr>
              <m:t>1</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R</m:t>
            </m:r>
          </m:e>
          <m:sub>
            <m:r>
              <m:rPr>
                <m:sty m:val="p"/>
              </m:rPr>
              <w:rPr>
                <w:rFonts w:ascii="Cambria Math" w:hAnsi="Cambria Math"/>
              </w:rPr>
              <m:t>1</m:t>
            </m:r>
          </m:sub>
        </m:sSub>
      </m:oMath>
      <w:r>
        <w:t xml:space="preserve"> is </w:t>
      </w:r>
      <w:r>
        <w:rPr>
          <w:lang w:val="en-GB"/>
        </w:rPr>
        <w:t xml:space="preserve">a small 3x3 matrix. </w:t>
      </w:r>
      <w:r w:rsidR="00416149">
        <w:rPr>
          <w:lang w:val="en-GB"/>
        </w:rPr>
        <w:t xml:space="preserve">To compensate the ICI, the received signal </w:t>
      </w:r>
      <m:oMath>
        <m:r>
          <w:rPr>
            <w:rFonts w:ascii="Cambria Math" w:hAnsi="Cambria Math"/>
            <w:lang w:val="en-GB"/>
          </w:rPr>
          <m:t>{</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k</m:t>
            </m:r>
          </m:sub>
        </m:sSub>
        <m:r>
          <w:rPr>
            <w:rFonts w:ascii="Cambria Math" w:hAnsi="Cambria Math"/>
            <w:lang w:val="en-GB"/>
          </w:rPr>
          <m:t>}</m:t>
        </m:r>
      </m:oMath>
      <w:r w:rsidR="00416149">
        <w:rPr>
          <w:lang w:val="en-GB"/>
        </w:rPr>
        <w:t xml:space="preserve"> is filter by </w:t>
      </w:r>
      <m:oMath>
        <m:r>
          <w:rPr>
            <w:rFonts w:ascii="Cambria Math" w:hAnsi="Cambria Math"/>
            <w:lang w:val="en-GB"/>
          </w:rPr>
          <m:t>{</m:t>
        </m:r>
        <m:sSub>
          <m:sSubPr>
            <m:ctrlPr>
              <w:rPr>
                <w:rFonts w:ascii="Cambria Math" w:hAnsi="Cambria Math"/>
                <w:i/>
              </w:rPr>
            </m:ctrlPr>
          </m:sSubPr>
          <m:e>
            <m:acc>
              <m:accPr>
                <m:ctrlPr>
                  <w:rPr>
                    <w:rFonts w:ascii="Cambria Math" w:hAnsi="Cambria Math"/>
                    <w:i/>
                  </w:rPr>
                </m:ctrlPr>
              </m:accPr>
              <m:e>
                <m:r>
                  <w:rPr>
                    <w:rFonts w:ascii="Cambria Math" w:hAnsi="Cambria Math"/>
                  </w:rPr>
                  <m:t>a</m:t>
                </m:r>
              </m:e>
            </m:acc>
            <m:ctrlPr>
              <w:rPr>
                <w:rFonts w:ascii="Cambria Math" w:hAnsi="Cambria Math"/>
                <w:i/>
                <w:lang w:val="en-GB"/>
              </w:rPr>
            </m:ctrlPr>
          </m:e>
          <m:sub>
            <m:r>
              <w:rPr>
                <w:rFonts w:ascii="Cambria Math" w:hAnsi="Cambria Math"/>
              </w:rPr>
              <m:t>-1</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0</m:t>
            </m:r>
          </m:sub>
        </m:sSub>
        <m:r>
          <w:rPr>
            <w:rFonts w:ascii="Cambria Math" w:hAnsi="Cambria Math"/>
          </w:rPr>
          <m:t xml:space="preserve">, </m:t>
        </m:r>
        <m:sSub>
          <m:sSubPr>
            <m:ctrlPr>
              <w:rPr>
                <w:rFonts w:ascii="Cambria Math" w:hAnsi="Cambria Math"/>
                <w:i/>
              </w:rPr>
            </m:ctrlPr>
          </m:sSubPr>
          <m:e>
            <m:acc>
              <m:accPr>
                <m:ctrlPr>
                  <w:rPr>
                    <w:rFonts w:ascii="Cambria Math" w:hAnsi="Cambria Math"/>
                    <w:i/>
                  </w:rPr>
                </m:ctrlPr>
              </m:accPr>
              <m:e>
                <m:r>
                  <w:rPr>
                    <w:rFonts w:ascii="Cambria Math" w:hAnsi="Cambria Math"/>
                  </w:rPr>
                  <m:t>a</m:t>
                </m:r>
              </m:e>
            </m:acc>
          </m:e>
          <m:sub>
            <m:r>
              <w:rPr>
                <w:rFonts w:ascii="Cambria Math" w:hAnsi="Cambria Math"/>
              </w:rPr>
              <m:t>1</m:t>
            </m:r>
          </m:sub>
        </m:sSub>
        <m:r>
          <w:rPr>
            <w:rFonts w:ascii="Cambria Math" w:hAnsi="Cambria Math"/>
          </w:rPr>
          <m:t>}</m:t>
        </m:r>
      </m:oMath>
      <w:r w:rsidR="00416149">
        <w:t>.</w:t>
      </w:r>
    </w:p>
    <w:p w14:paraId="4DA5319E" w14:textId="2CB5B0DE" w:rsidR="00FB4698" w:rsidRDefault="00462A02" w:rsidP="000E48E2">
      <w:pPr>
        <w:pStyle w:val="BodyText"/>
        <w:rPr>
          <w:lang w:val="en-GB"/>
        </w:rPr>
      </w:pPr>
      <w:r>
        <w:rPr>
          <w:lang w:val="en-GB"/>
        </w:rPr>
        <w:t>T</w:t>
      </w:r>
      <w:r w:rsidR="00FB4698">
        <w:rPr>
          <w:lang w:val="en-GB"/>
        </w:rPr>
        <w:t>he compensation procedure places no restriction on the locations of the PTRS. That is, the PTRS can be distributed as Rel-15 NR PTRS or clustered as studied by some companies.</w:t>
      </w:r>
    </w:p>
    <w:p w14:paraId="23D5076C" w14:textId="52D29D11" w:rsidR="001916A4" w:rsidRPr="000E45C1" w:rsidRDefault="001916A4" w:rsidP="001916A4">
      <w:pPr>
        <w:pStyle w:val="BodyText"/>
      </w:pPr>
      <w:r w:rsidRPr="000E45C1">
        <w:t xml:space="preserve">In </w:t>
      </w:r>
      <w:r>
        <w:t>the following</w:t>
      </w:r>
      <w:r w:rsidRPr="000E45C1">
        <w:t xml:space="preserve">, we provide link-level evaluation results in terms of DL-SCH block error rate (BLER) vs. signal to noise ratio (SINR) for </w:t>
      </w:r>
      <w:r>
        <w:t xml:space="preserve">the </w:t>
      </w:r>
      <w:r w:rsidRPr="000E45C1">
        <w:t xml:space="preserve">TDL-A channel </w:t>
      </w:r>
      <w:r>
        <w:t xml:space="preserve">with 10 </w:t>
      </w:r>
      <w:r w:rsidR="00F76BE2">
        <w:t xml:space="preserve">and 40 </w:t>
      </w:r>
      <w:r>
        <w:t>ns delay spread a</w:t>
      </w:r>
      <w:r w:rsidRPr="000E45C1">
        <w:t xml:space="preserve">ccording to the </w:t>
      </w:r>
      <w:r>
        <w:t xml:space="preserve">RAN1 agreed </w:t>
      </w:r>
      <w:r w:rsidRPr="000E45C1">
        <w:t>evaluation assumptions</w:t>
      </w:r>
      <w:r>
        <w:t>.</w:t>
      </w:r>
      <w:r w:rsidRPr="000E45C1">
        <w:t xml:space="preserve"> </w:t>
      </w:r>
      <w:r>
        <w:t>T</w:t>
      </w:r>
      <w:r w:rsidRPr="000E45C1">
        <w:t xml:space="preserve">wo channel bandwidths are </w:t>
      </w:r>
      <w:r>
        <w:t>considered:</w:t>
      </w:r>
    </w:p>
    <w:p w14:paraId="3E8A907A" w14:textId="77777777" w:rsidR="001916A4" w:rsidRDefault="001916A4" w:rsidP="001916A4">
      <w:pPr>
        <w:pStyle w:val="BodyText"/>
        <w:numPr>
          <w:ilvl w:val="0"/>
          <w:numId w:val="20"/>
        </w:numPr>
        <w:spacing w:after="0"/>
      </w:pPr>
      <w:r>
        <w:t>400 MHz</w:t>
      </w:r>
    </w:p>
    <w:p w14:paraId="64D574C8" w14:textId="77777777" w:rsidR="001916A4" w:rsidRDefault="001916A4" w:rsidP="001916A4">
      <w:pPr>
        <w:pStyle w:val="BodyText"/>
        <w:numPr>
          <w:ilvl w:val="1"/>
          <w:numId w:val="20"/>
        </w:numPr>
        <w:spacing w:after="0"/>
      </w:pPr>
      <w:r>
        <w:t>256 RBs @ 120 kHz SCS</w:t>
      </w:r>
    </w:p>
    <w:p w14:paraId="6BEDFC0A" w14:textId="77777777" w:rsidR="001916A4" w:rsidRDefault="001916A4" w:rsidP="001916A4">
      <w:pPr>
        <w:pStyle w:val="BodyText"/>
        <w:numPr>
          <w:ilvl w:val="1"/>
          <w:numId w:val="20"/>
        </w:numPr>
        <w:spacing w:after="0"/>
      </w:pPr>
      <w:r>
        <w:t>128 RBs @ 240 kHz SCS</w:t>
      </w:r>
    </w:p>
    <w:p w14:paraId="23EAEE3E" w14:textId="77777777" w:rsidR="001916A4" w:rsidRDefault="001916A4" w:rsidP="001916A4">
      <w:pPr>
        <w:pStyle w:val="BodyText"/>
        <w:numPr>
          <w:ilvl w:val="1"/>
          <w:numId w:val="20"/>
        </w:numPr>
        <w:spacing w:after="0"/>
      </w:pPr>
      <w:r>
        <w:t>64 RBs @ 480 kHz SCS</w:t>
      </w:r>
    </w:p>
    <w:p w14:paraId="06C27580" w14:textId="77777777" w:rsidR="001916A4" w:rsidRDefault="001916A4" w:rsidP="001916A4">
      <w:pPr>
        <w:pStyle w:val="BodyText"/>
        <w:numPr>
          <w:ilvl w:val="0"/>
          <w:numId w:val="20"/>
        </w:numPr>
        <w:spacing w:after="0"/>
      </w:pPr>
      <w:r>
        <w:t>1600 MHz</w:t>
      </w:r>
    </w:p>
    <w:p w14:paraId="6D227315" w14:textId="77777777" w:rsidR="001916A4" w:rsidRDefault="001916A4" w:rsidP="001916A4">
      <w:pPr>
        <w:pStyle w:val="BodyText"/>
        <w:numPr>
          <w:ilvl w:val="1"/>
          <w:numId w:val="20"/>
        </w:numPr>
        <w:spacing w:after="0"/>
      </w:pPr>
      <w:r>
        <w:t>256 RBs @ 480 kHz SCS</w:t>
      </w:r>
    </w:p>
    <w:p w14:paraId="5DA5E6B0" w14:textId="77777777" w:rsidR="001916A4" w:rsidRDefault="001916A4" w:rsidP="001916A4">
      <w:pPr>
        <w:pStyle w:val="BodyText"/>
        <w:numPr>
          <w:ilvl w:val="1"/>
          <w:numId w:val="20"/>
        </w:numPr>
      </w:pPr>
      <w:r>
        <w:t>128 RBs @ 960 kHz SCS</w:t>
      </w:r>
    </w:p>
    <w:p w14:paraId="3C60E73F" w14:textId="2DDE8636" w:rsidR="001916A4" w:rsidRPr="00C613F5" w:rsidRDefault="001916A4" w:rsidP="004F69A1">
      <w:pPr>
        <w:pStyle w:val="BodyText"/>
      </w:pPr>
      <w:r>
        <w:t xml:space="preserve">To compare the impact of different phase noise models, we consider the </w:t>
      </w:r>
      <w:r w:rsidR="00BC2C79">
        <w:t>same 3 sets of phase noise models as described in the previous section (3.3.1).</w:t>
      </w:r>
    </w:p>
    <w:p w14:paraId="6C9439FF" w14:textId="4CCFA11B" w:rsidR="001916A4" w:rsidRDefault="001916A4" w:rsidP="001916A4">
      <w:pPr>
        <w:pStyle w:val="BodyText"/>
      </w:pPr>
      <w:r w:rsidRPr="000E45C1">
        <w:t xml:space="preserve">In all link-level simulations for OFDM, current Rel-15 PTRS configurations </w:t>
      </w:r>
      <w:r>
        <w:t xml:space="preserve">with </w:t>
      </w:r>
      <w:r w:rsidRPr="000E45C1">
        <w:t xml:space="preserve">K=2 and L=1 </w:t>
      </w:r>
      <w:proofErr w:type="gramStart"/>
      <w:r w:rsidRPr="000E45C1">
        <w:t>are</w:t>
      </w:r>
      <w:proofErr w:type="gramEnd"/>
      <w:r w:rsidRPr="000E45C1">
        <w:t xml:space="preserve"> used and </w:t>
      </w:r>
      <w:r w:rsidR="00E466DD">
        <w:t>ICI</w:t>
      </w:r>
      <w:r w:rsidR="00E466DD" w:rsidRPr="000E45C1">
        <w:t xml:space="preserve"> </w:t>
      </w:r>
      <w:r w:rsidRPr="000E45C1">
        <w:t xml:space="preserve">compensation </w:t>
      </w:r>
      <w:r>
        <w:t>is applied to the received signals.</w:t>
      </w:r>
    </w:p>
    <w:p w14:paraId="6AEBA4FF" w14:textId="4138094C" w:rsidR="00027A47" w:rsidRDefault="00027A47" w:rsidP="00027A47">
      <w:pPr>
        <w:pStyle w:val="BodyText"/>
        <w:numPr>
          <w:ilvl w:val="0"/>
          <w:numId w:val="65"/>
        </w:numPr>
      </w:pPr>
      <w:r>
        <w:t>With phase noise model set 1</w:t>
      </w:r>
      <w:r w:rsidR="00B047F1">
        <w:t>,</w:t>
      </w:r>
      <w:r>
        <w:t xml:space="preserve"> </w:t>
      </w:r>
      <w:r w:rsidR="00B047F1">
        <w:t>t</w:t>
      </w:r>
      <w:r w:rsidR="00456A35">
        <w:t xml:space="preserve">he </w:t>
      </w:r>
      <w:r w:rsidR="0083787A">
        <w:t>de</w:t>
      </w:r>
      <w:r w:rsidR="002D7206">
        <w:t>-</w:t>
      </w:r>
      <w:r w:rsidR="00456A35">
        <w:t xml:space="preserve">ICI algorithm </w:t>
      </w:r>
      <w:r w:rsidR="00323547">
        <w:t>present</w:t>
      </w:r>
      <w:r w:rsidR="00373626">
        <w:t xml:space="preserve">ed above can </w:t>
      </w:r>
      <w:r w:rsidR="00F34ADC">
        <w:t>effective</w:t>
      </w:r>
      <w:r w:rsidR="00845E8A">
        <w:t>ly</w:t>
      </w:r>
      <w:r w:rsidR="00F34ADC">
        <w:t xml:space="preserve"> remove the ICI degradation for SCS </w:t>
      </w:r>
      <w:r w:rsidR="00F34ADC">
        <w:rPr>
          <w:rFonts w:ascii="Cambria Math" w:hAnsi="Cambria Math"/>
        </w:rPr>
        <w:t>≥</w:t>
      </w:r>
      <w:r w:rsidR="00D10FD3">
        <w:rPr>
          <w:rFonts w:ascii="Cambria Math" w:hAnsi="Cambria Math"/>
        </w:rPr>
        <w:t xml:space="preserve"> </w:t>
      </w:r>
      <w:r w:rsidR="00F34ADC">
        <w:t>240 kHz</w:t>
      </w:r>
      <w:r w:rsidR="001915D9">
        <w:t xml:space="preserve"> as shown in </w:t>
      </w:r>
      <w:r w:rsidR="001915D9">
        <w:fldChar w:fldCharType="begin"/>
      </w:r>
      <w:r w:rsidR="001915D9">
        <w:instrText xml:space="preserve"> REF _Ref53570277 \h </w:instrText>
      </w:r>
      <w:r w:rsidR="001915D9">
        <w:fldChar w:fldCharType="separate"/>
      </w:r>
      <w:r w:rsidR="00BE31F7" w:rsidRPr="00D7403F">
        <w:rPr>
          <w:rFonts w:cs="Arial"/>
        </w:rPr>
        <w:t xml:space="preserve">Figure </w:t>
      </w:r>
      <w:r w:rsidR="00BE31F7">
        <w:rPr>
          <w:rFonts w:cs="Arial"/>
          <w:noProof/>
        </w:rPr>
        <w:t>21</w:t>
      </w:r>
      <w:r w:rsidR="001915D9">
        <w:fldChar w:fldCharType="end"/>
      </w:r>
      <w:r w:rsidR="00F34ADC">
        <w:t>.</w:t>
      </w:r>
      <w:r w:rsidR="00B811B6">
        <w:t xml:space="preserve"> </w:t>
      </w:r>
      <w:r w:rsidR="008E0832">
        <w:t>There is still residual ICI degradation with 120 kHz SCS</w:t>
      </w:r>
      <w:r>
        <w:t>.</w:t>
      </w:r>
    </w:p>
    <w:p w14:paraId="5224B4D5" w14:textId="09344221" w:rsidR="006220DB" w:rsidRDefault="00AC55A2" w:rsidP="00027A47">
      <w:pPr>
        <w:pStyle w:val="BodyText"/>
        <w:numPr>
          <w:ilvl w:val="0"/>
          <w:numId w:val="65"/>
        </w:numPr>
      </w:pPr>
      <w:r>
        <w:t>As observed in the previous section, w</w:t>
      </w:r>
      <w:r w:rsidR="00027A47">
        <w:t>ith phase noise model set 2</w:t>
      </w:r>
      <w:r w:rsidR="006220DB">
        <w:t xml:space="preserve"> and set 3</w:t>
      </w:r>
      <w:r w:rsidR="00027A47">
        <w:t xml:space="preserve">, </w:t>
      </w:r>
      <w:r w:rsidR="00323250">
        <w:t xml:space="preserve">there is significantly less dependence of BLER performance on </w:t>
      </w:r>
      <w:r w:rsidR="00823691">
        <w:t xml:space="preserve">the </w:t>
      </w:r>
      <w:r w:rsidR="00323250">
        <w:t xml:space="preserve">SCS. The </w:t>
      </w:r>
      <w:r w:rsidR="002D7206">
        <w:t xml:space="preserve">de-ICI algorithm </w:t>
      </w:r>
      <w:r w:rsidR="00FF4722">
        <w:t xml:space="preserve">can </w:t>
      </w:r>
      <w:r w:rsidR="00142D2E">
        <w:t xml:space="preserve">remove </w:t>
      </w:r>
      <w:r w:rsidR="00C432D6">
        <w:t xml:space="preserve">the </w:t>
      </w:r>
      <w:r w:rsidR="00142D2E">
        <w:t xml:space="preserve">ICI </w:t>
      </w:r>
      <w:r w:rsidR="00FA3737">
        <w:t xml:space="preserve">degradation effectively as shown in </w:t>
      </w:r>
      <w:r w:rsidR="001915D9">
        <w:fldChar w:fldCharType="begin"/>
      </w:r>
      <w:r w:rsidR="001915D9">
        <w:instrText xml:space="preserve"> REF _Ref53570290 \h </w:instrText>
      </w:r>
      <w:r w:rsidR="001915D9">
        <w:fldChar w:fldCharType="separate"/>
      </w:r>
      <w:r w:rsidR="00BE31F7" w:rsidRPr="006F04C6">
        <w:rPr>
          <w:rFonts w:asciiTheme="minorBidi" w:hAnsiTheme="minorBidi" w:cstheme="minorBidi"/>
        </w:rPr>
        <w:t xml:space="preserve">Figure </w:t>
      </w:r>
      <w:r w:rsidR="00BE31F7">
        <w:rPr>
          <w:rFonts w:asciiTheme="minorBidi" w:hAnsiTheme="minorBidi" w:cstheme="minorBidi"/>
          <w:noProof/>
        </w:rPr>
        <w:t>22</w:t>
      </w:r>
      <w:r w:rsidR="001915D9">
        <w:fldChar w:fldCharType="end"/>
      </w:r>
      <w:r w:rsidR="00FA3737">
        <w:t xml:space="preserve"> and </w:t>
      </w:r>
      <w:r w:rsidR="001915D9">
        <w:fldChar w:fldCharType="begin"/>
      </w:r>
      <w:r w:rsidR="001915D9">
        <w:instrText xml:space="preserve"> REF _Ref53570291 \h </w:instrText>
      </w:r>
      <w:r w:rsidR="001915D9">
        <w:fldChar w:fldCharType="separate"/>
      </w:r>
      <w:r w:rsidR="00BE31F7" w:rsidRPr="00B3338F">
        <w:rPr>
          <w:rFonts w:cs="Arial"/>
        </w:rPr>
        <w:t xml:space="preserve">Figure </w:t>
      </w:r>
      <w:r w:rsidR="00BE31F7">
        <w:rPr>
          <w:rFonts w:cs="Arial"/>
          <w:noProof/>
        </w:rPr>
        <w:t>23</w:t>
      </w:r>
      <w:r w:rsidR="001915D9">
        <w:fldChar w:fldCharType="end"/>
      </w:r>
      <w:r>
        <w:t>, even for 120 kHz SCS.</w:t>
      </w:r>
    </w:p>
    <w:p w14:paraId="2FD96DC8" w14:textId="53F2C156" w:rsidR="004976BF" w:rsidRDefault="00AC55A2" w:rsidP="00027A47">
      <w:pPr>
        <w:pStyle w:val="BodyText"/>
        <w:numPr>
          <w:ilvl w:val="0"/>
          <w:numId w:val="65"/>
        </w:numPr>
      </w:pPr>
      <w:r>
        <w:t>For small delay spread (5/10 ns) and 1</w:t>
      </w:r>
      <w:r w:rsidR="00A63273">
        <w:t>.6 GHz</w:t>
      </w:r>
      <w:r>
        <w:t xml:space="preserve"> bandwidth</w:t>
      </w:r>
      <w:r w:rsidR="00A63273">
        <w:t xml:space="preserve">, while there is a small gain with ICI compensation </w:t>
      </w:r>
      <w:r>
        <w:t xml:space="preserve">for </w:t>
      </w:r>
      <w:r w:rsidR="00A63273">
        <w:t>960</w:t>
      </w:r>
      <w:r>
        <w:t xml:space="preserve"> kHz SCS compared to </w:t>
      </w:r>
      <w:r w:rsidR="00A63273">
        <w:t>480</w:t>
      </w:r>
      <w:r>
        <w:t xml:space="preserve"> kHz SCS</w:t>
      </w:r>
      <w:r w:rsidR="00A63273">
        <w:t>, this gain vanishes for 20 ns delay spread</w:t>
      </w:r>
      <w:r>
        <w:t xml:space="preserve">. Furthermore, </w:t>
      </w:r>
      <w:r w:rsidR="00A63273">
        <w:t xml:space="preserve">960 kHz </w:t>
      </w:r>
      <w:r>
        <w:t xml:space="preserve">SCS </w:t>
      </w:r>
      <w:r w:rsidR="00A63273">
        <w:t>becomes unusable</w:t>
      </w:r>
      <w:r>
        <w:t xml:space="preserve"> for</w:t>
      </w:r>
      <w:r w:rsidR="00A63273">
        <w:t xml:space="preserve"> 40 ns</w:t>
      </w:r>
      <w:r>
        <w:t xml:space="preserve"> delay spread due to severe</w:t>
      </w:r>
      <w:r w:rsidR="00B3258C" w:rsidRPr="008E7E69">
        <w:t xml:space="preserve"> interference (ISI)</w:t>
      </w:r>
      <w:r w:rsidR="004A5A9C">
        <w:t>.</w:t>
      </w:r>
    </w:p>
    <w:p w14:paraId="4CB29061" w14:textId="6A905B21" w:rsidR="00216C6E" w:rsidRDefault="00BF48BA" w:rsidP="001916A4">
      <w:pPr>
        <w:pStyle w:val="BodyText"/>
      </w:pPr>
      <w:r>
        <w:t>In summary,</w:t>
      </w:r>
      <w:r w:rsidR="00F95DCD" w:rsidRPr="00F95DCD">
        <w:t xml:space="preserve"> with simple ICI compensation, link performance of smaller sub-carrier spacings can be brought on par with that of larger sub-carrier spacings particularly in the range of typical link adaptation target of 10% BLER for channels. Therefore, there is no need to drastically increase SCS, e.g., to 960 kHz, to combat phase noise.</w:t>
      </w:r>
    </w:p>
    <w:p w14:paraId="63717622" w14:textId="77777777" w:rsidR="00BA3E49" w:rsidRDefault="00BA3E49" w:rsidP="001916A4">
      <w:pPr>
        <w:pStyle w:val="BodyText"/>
      </w:pPr>
    </w:p>
    <w:p w14:paraId="5FC425B2" w14:textId="3F04F354" w:rsidR="00D60A4C" w:rsidRDefault="00D60A4C" w:rsidP="00D60A4C">
      <w:pPr>
        <w:pStyle w:val="Proposal"/>
      </w:pPr>
      <w:bookmarkStart w:id="115" w:name="_Toc53776191"/>
      <w:r>
        <w:t>Capture the following observation in TR</w:t>
      </w:r>
      <w:r w:rsidR="00AE6DEC">
        <w:t xml:space="preserve"> 38.808</w:t>
      </w:r>
      <w:r>
        <w:t xml:space="preserve">: </w:t>
      </w:r>
      <w:r w:rsidRPr="00D55D0C">
        <w:t>Effective mitigation of ICI caused by phase noise</w:t>
      </w:r>
      <w:r>
        <w:t>s</w:t>
      </w:r>
      <w:r w:rsidRPr="00D55D0C">
        <w:t xml:space="preserve"> for OFDM can be performed using the existing Rel-15 NR distributed PT-RS structure</w:t>
      </w:r>
      <w:r>
        <w:t>.</w:t>
      </w:r>
      <w:bookmarkEnd w:id="115"/>
    </w:p>
    <w:p w14:paraId="7293DD6A" w14:textId="77777777" w:rsidR="0081458C" w:rsidRDefault="0081458C" w:rsidP="000E48E2">
      <w:pPr>
        <w:pStyle w:val="BodyText"/>
        <w:rPr>
          <w:lang w:val="en-GB"/>
        </w:rPr>
      </w:pPr>
    </w:p>
    <w:p w14:paraId="3CF02ADA" w14:textId="2D224D04" w:rsidR="0081458C" w:rsidRDefault="5F8FB10A" w:rsidP="000E48E2">
      <w:pPr>
        <w:pStyle w:val="BodyText"/>
        <w:rPr>
          <w:lang w:val="en-GB"/>
        </w:rPr>
      </w:pPr>
      <w:r>
        <w:rPr>
          <w:noProof/>
        </w:rPr>
        <w:lastRenderedPageBreak/>
        <w:drawing>
          <wp:inline distT="0" distB="0" distL="0" distR="0" wp14:anchorId="462712B5" wp14:editId="1FF6428B">
            <wp:extent cx="3017520" cy="2263140"/>
            <wp:effectExtent l="0" t="0" r="0"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9">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r>
        <w:t xml:space="preserve"> </w:t>
      </w:r>
      <w:r>
        <w:rPr>
          <w:noProof/>
        </w:rPr>
        <w:drawing>
          <wp:inline distT="0" distB="0" distL="0" distR="0" wp14:anchorId="129EC8DA" wp14:editId="2B43BD90">
            <wp:extent cx="3017520" cy="2263140"/>
            <wp:effectExtent l="0" t="0" r="0" b="3810"/>
            <wp:docPr id="1646987623" name="Picture 164698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987623"/>
                    <pic:cNvPicPr/>
                  </pic:nvPicPr>
                  <pic:blipFill>
                    <a:blip r:embed="rId40">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p w14:paraId="73A2449D" w14:textId="2CC1E983" w:rsidR="00871364" w:rsidRPr="00D7403F" w:rsidRDefault="00871364" w:rsidP="00871364">
      <w:pPr>
        <w:pStyle w:val="Caption"/>
        <w:jc w:val="both"/>
        <w:rPr>
          <w:rFonts w:ascii="Arial" w:hAnsi="Arial" w:cs="Arial"/>
        </w:rPr>
      </w:pPr>
      <w:bookmarkStart w:id="116" w:name="_Ref53570277"/>
      <w:r w:rsidRPr="00D7403F">
        <w:rPr>
          <w:rFonts w:ascii="Arial" w:hAnsi="Arial" w:cs="Arial"/>
        </w:rPr>
        <w:t xml:space="preserve">Figure </w:t>
      </w:r>
      <w:r w:rsidRPr="00D7403F">
        <w:rPr>
          <w:rFonts w:ascii="Arial" w:hAnsi="Arial" w:cs="Arial"/>
        </w:rPr>
        <w:fldChar w:fldCharType="begin"/>
      </w:r>
      <w:r w:rsidRPr="00D7403F">
        <w:rPr>
          <w:rFonts w:ascii="Arial" w:hAnsi="Arial" w:cs="Arial"/>
        </w:rPr>
        <w:instrText xml:space="preserve"> SEQ Figure \* ARABIC </w:instrText>
      </w:r>
      <w:r w:rsidRPr="00D7403F">
        <w:rPr>
          <w:rFonts w:ascii="Arial" w:hAnsi="Arial" w:cs="Arial"/>
        </w:rPr>
        <w:fldChar w:fldCharType="separate"/>
      </w:r>
      <w:r w:rsidR="00BE31F7">
        <w:rPr>
          <w:rFonts w:ascii="Arial" w:hAnsi="Arial" w:cs="Arial"/>
          <w:noProof/>
        </w:rPr>
        <w:t>21</w:t>
      </w:r>
      <w:r w:rsidRPr="00D7403F">
        <w:rPr>
          <w:rFonts w:ascii="Arial" w:hAnsi="Arial" w:cs="Arial"/>
        </w:rPr>
        <w:fldChar w:fldCharType="end"/>
      </w:r>
      <w:bookmarkEnd w:id="116"/>
      <w:r w:rsidRPr="00D7403F">
        <w:rPr>
          <w:rFonts w:ascii="Arial" w:hAnsi="Arial" w:cs="Arial"/>
        </w:rPr>
        <w:t xml:space="preserve">: </w:t>
      </w:r>
      <w:r w:rsidRPr="006A082F">
        <w:rPr>
          <w:rFonts w:ascii="Arial" w:hAnsi="Arial" w:cs="Arial"/>
        </w:rPr>
        <w:t xml:space="preserve">BLER for TDL-A channel with 10 ns (left) and 40 ns (right) delay spread. </w:t>
      </w:r>
      <w:r w:rsidR="00751DF8">
        <w:rPr>
          <w:rFonts w:ascii="Arial" w:hAnsi="Arial" w:cs="Arial"/>
        </w:rPr>
        <w:t>ICI</w:t>
      </w:r>
      <w:r w:rsidRPr="006A082F">
        <w:rPr>
          <w:rFonts w:ascii="Arial" w:hAnsi="Arial" w:cs="Arial"/>
        </w:rPr>
        <w:t xml:space="preserve"> compensation is used assuming the PN model set 1. The dotted/solid curves correspond to MCS 16/22, respectively</w:t>
      </w:r>
      <w:r w:rsidRPr="00D7403F">
        <w:rPr>
          <w:rFonts w:ascii="Arial" w:hAnsi="Arial" w:cs="Arial"/>
        </w:rPr>
        <w:t>.</w:t>
      </w:r>
    </w:p>
    <w:p w14:paraId="58D93E87" w14:textId="7B3BA7F3" w:rsidR="00871364" w:rsidRDefault="00064B79" w:rsidP="003C2819">
      <w:pPr>
        <w:pStyle w:val="BodyText"/>
        <w:keepNext/>
      </w:pPr>
      <w:r>
        <w:rPr>
          <w:noProof/>
        </w:rPr>
        <w:drawing>
          <wp:inline distT="0" distB="0" distL="0" distR="0" wp14:anchorId="2CEED679" wp14:editId="61A69D9F">
            <wp:extent cx="3017520" cy="2263140"/>
            <wp:effectExtent l="0" t="0" r="0" b="381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r w:rsidR="00D21320">
        <w:rPr>
          <w:noProof/>
        </w:rPr>
        <w:drawing>
          <wp:inline distT="0" distB="0" distL="0" distR="0" wp14:anchorId="73F1FF89" wp14:editId="25E51F23">
            <wp:extent cx="3017520" cy="2263140"/>
            <wp:effectExtent l="0" t="0" r="0" b="381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17520" cy="2263140"/>
                    </a:xfrm>
                    <a:prstGeom prst="rect">
                      <a:avLst/>
                    </a:prstGeom>
                    <a:noFill/>
                    <a:ln>
                      <a:noFill/>
                    </a:ln>
                  </pic:spPr>
                </pic:pic>
              </a:graphicData>
            </a:graphic>
          </wp:inline>
        </w:drawing>
      </w:r>
    </w:p>
    <w:p w14:paraId="2140B256" w14:textId="3A21C84A" w:rsidR="00871364" w:rsidRPr="006F04C6" w:rsidRDefault="00871364" w:rsidP="00871364">
      <w:pPr>
        <w:pStyle w:val="Caption"/>
        <w:jc w:val="both"/>
        <w:rPr>
          <w:rFonts w:asciiTheme="minorBidi" w:hAnsiTheme="minorBidi" w:cstheme="minorBidi"/>
        </w:rPr>
      </w:pPr>
      <w:bookmarkStart w:id="117" w:name="_Ref53570290"/>
      <w:r w:rsidRPr="006F04C6">
        <w:rPr>
          <w:rFonts w:asciiTheme="minorBidi" w:hAnsiTheme="minorBidi" w:cstheme="minorBidi"/>
        </w:rPr>
        <w:t xml:space="preserve">Figure </w:t>
      </w:r>
      <w:r w:rsidRPr="006F04C6">
        <w:rPr>
          <w:rFonts w:asciiTheme="minorBidi" w:hAnsiTheme="minorBidi" w:cstheme="minorBidi"/>
        </w:rPr>
        <w:fldChar w:fldCharType="begin"/>
      </w:r>
      <w:r w:rsidRPr="006F04C6">
        <w:rPr>
          <w:rFonts w:asciiTheme="minorBidi" w:hAnsiTheme="minorBidi" w:cstheme="minorBidi"/>
        </w:rPr>
        <w:instrText xml:space="preserve"> SEQ Figure \* ARABIC </w:instrText>
      </w:r>
      <w:r w:rsidRPr="006F04C6">
        <w:rPr>
          <w:rFonts w:asciiTheme="minorBidi" w:hAnsiTheme="minorBidi" w:cstheme="minorBidi"/>
        </w:rPr>
        <w:fldChar w:fldCharType="separate"/>
      </w:r>
      <w:r w:rsidR="00BE31F7">
        <w:rPr>
          <w:rFonts w:asciiTheme="minorBidi" w:hAnsiTheme="minorBidi" w:cstheme="minorBidi"/>
          <w:noProof/>
        </w:rPr>
        <w:t>22</w:t>
      </w:r>
      <w:r w:rsidRPr="006F04C6">
        <w:rPr>
          <w:rFonts w:asciiTheme="minorBidi" w:hAnsiTheme="minorBidi" w:cstheme="minorBidi"/>
        </w:rPr>
        <w:fldChar w:fldCharType="end"/>
      </w:r>
      <w:bookmarkEnd w:id="117"/>
      <w:r w:rsidRPr="006F04C6">
        <w:rPr>
          <w:rFonts w:asciiTheme="minorBidi" w:hAnsiTheme="minorBidi" w:cstheme="minorBidi"/>
        </w:rPr>
        <w:t xml:space="preserve">: </w:t>
      </w:r>
      <w:r w:rsidRPr="00C47C02">
        <w:rPr>
          <w:rFonts w:asciiTheme="minorBidi" w:hAnsiTheme="minorBidi" w:cstheme="minorBidi"/>
        </w:rPr>
        <w:t xml:space="preserve">BLER for TDL-A channel with 10 ns (left) and 40 ns (right) delay spread. </w:t>
      </w:r>
      <w:r w:rsidR="00751DF8">
        <w:rPr>
          <w:rFonts w:asciiTheme="minorBidi" w:hAnsiTheme="minorBidi" w:cstheme="minorBidi"/>
        </w:rPr>
        <w:t>ICI</w:t>
      </w:r>
      <w:r w:rsidRPr="00C47C02">
        <w:rPr>
          <w:rFonts w:asciiTheme="minorBidi" w:hAnsiTheme="minorBidi" w:cstheme="minorBidi"/>
        </w:rPr>
        <w:t xml:space="preserve"> compensation is used assuming the PN model set </w:t>
      </w:r>
      <w:r>
        <w:rPr>
          <w:rFonts w:asciiTheme="minorBidi" w:hAnsiTheme="minorBidi" w:cstheme="minorBidi"/>
        </w:rPr>
        <w:t>2</w:t>
      </w:r>
      <w:r w:rsidRPr="00C47C02">
        <w:rPr>
          <w:rFonts w:asciiTheme="minorBidi" w:hAnsiTheme="minorBidi" w:cstheme="minorBidi"/>
        </w:rPr>
        <w:t>. The dotted/solid curves correspond to MCS 16/22, respectively</w:t>
      </w:r>
      <w:r w:rsidRPr="006F04C6">
        <w:rPr>
          <w:rFonts w:asciiTheme="minorBidi" w:hAnsiTheme="minorBidi" w:cstheme="minorBidi"/>
        </w:rPr>
        <w:t>.</w:t>
      </w:r>
    </w:p>
    <w:p w14:paraId="010606EA" w14:textId="55921077" w:rsidR="00E26F68" w:rsidRPr="00E171B2" w:rsidRDefault="00FE4439" w:rsidP="003C2819">
      <w:pPr>
        <w:pStyle w:val="BodyText"/>
        <w:keepNext/>
      </w:pPr>
      <w:r>
        <w:rPr>
          <w:noProof/>
        </w:rPr>
        <w:drawing>
          <wp:inline distT="0" distB="0" distL="0" distR="0" wp14:anchorId="77712254" wp14:editId="4A3EEC72">
            <wp:extent cx="3017520" cy="2242410"/>
            <wp:effectExtent l="0" t="0" r="0" b="571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r w:rsidR="000D4B71" w:rsidRPr="000D4B71">
        <w:rPr>
          <w:noProof/>
        </w:rPr>
        <w:t xml:space="preserve"> </w:t>
      </w:r>
      <w:r w:rsidR="00F448E2">
        <w:rPr>
          <w:noProof/>
        </w:rPr>
        <w:drawing>
          <wp:inline distT="0" distB="0" distL="0" distR="0" wp14:anchorId="273B215F" wp14:editId="227BF66E">
            <wp:extent cx="3017520" cy="2242410"/>
            <wp:effectExtent l="0" t="0" r="0" b="571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17520" cy="2242410"/>
                    </a:xfrm>
                    <a:prstGeom prst="rect">
                      <a:avLst/>
                    </a:prstGeom>
                    <a:noFill/>
                    <a:ln>
                      <a:noFill/>
                    </a:ln>
                  </pic:spPr>
                </pic:pic>
              </a:graphicData>
            </a:graphic>
          </wp:inline>
        </w:drawing>
      </w:r>
    </w:p>
    <w:p w14:paraId="709C7A18" w14:textId="047D6888" w:rsidR="00871364" w:rsidRDefault="00871364" w:rsidP="00871364">
      <w:pPr>
        <w:pStyle w:val="Caption"/>
        <w:jc w:val="both"/>
        <w:rPr>
          <w:rFonts w:ascii="Arial" w:hAnsi="Arial" w:cs="Arial"/>
        </w:rPr>
      </w:pPr>
      <w:bookmarkStart w:id="118" w:name="_Ref53570291"/>
      <w:r w:rsidRPr="00B3338F">
        <w:rPr>
          <w:rFonts w:ascii="Arial" w:hAnsi="Arial" w:cs="Arial"/>
        </w:rPr>
        <w:t xml:space="preserve">Figure </w:t>
      </w:r>
      <w:r w:rsidRPr="00B3338F">
        <w:rPr>
          <w:rFonts w:ascii="Arial" w:hAnsi="Arial" w:cs="Arial"/>
        </w:rPr>
        <w:fldChar w:fldCharType="begin"/>
      </w:r>
      <w:r w:rsidRPr="00B3338F">
        <w:rPr>
          <w:rFonts w:ascii="Arial" w:hAnsi="Arial" w:cs="Arial"/>
        </w:rPr>
        <w:instrText xml:space="preserve"> SEQ Figure \* ARABIC </w:instrText>
      </w:r>
      <w:r w:rsidRPr="00B3338F">
        <w:rPr>
          <w:rFonts w:ascii="Arial" w:hAnsi="Arial" w:cs="Arial"/>
        </w:rPr>
        <w:fldChar w:fldCharType="separate"/>
      </w:r>
      <w:r w:rsidR="00BE31F7">
        <w:rPr>
          <w:rFonts w:ascii="Arial" w:hAnsi="Arial" w:cs="Arial"/>
          <w:noProof/>
        </w:rPr>
        <w:t>23</w:t>
      </w:r>
      <w:r w:rsidRPr="00B3338F">
        <w:rPr>
          <w:rFonts w:ascii="Arial" w:hAnsi="Arial" w:cs="Arial"/>
        </w:rPr>
        <w:fldChar w:fldCharType="end"/>
      </w:r>
      <w:bookmarkEnd w:id="118"/>
      <w:r w:rsidRPr="00B3338F">
        <w:rPr>
          <w:rFonts w:ascii="Arial" w:hAnsi="Arial" w:cs="Arial"/>
        </w:rPr>
        <w:t xml:space="preserve">: </w:t>
      </w:r>
      <w:r w:rsidRPr="00C47C02">
        <w:rPr>
          <w:rFonts w:ascii="Arial" w:hAnsi="Arial" w:cs="Arial"/>
        </w:rPr>
        <w:t xml:space="preserve">BLER for TDL-A channel with 10 ns (left) and 40 ns (right) delay spread. </w:t>
      </w:r>
      <w:r w:rsidR="00751DF8">
        <w:rPr>
          <w:rFonts w:ascii="Arial" w:hAnsi="Arial" w:cs="Arial"/>
        </w:rPr>
        <w:t>ICI</w:t>
      </w:r>
      <w:r w:rsidRPr="00C47C02">
        <w:rPr>
          <w:rFonts w:ascii="Arial" w:hAnsi="Arial" w:cs="Arial"/>
        </w:rPr>
        <w:t xml:space="preserve"> compensation is used assuming the PN model set </w:t>
      </w:r>
      <w:r>
        <w:rPr>
          <w:rFonts w:ascii="Arial" w:hAnsi="Arial" w:cs="Arial"/>
        </w:rPr>
        <w:t>3</w:t>
      </w:r>
      <w:r w:rsidRPr="00C47C02">
        <w:rPr>
          <w:rFonts w:ascii="Arial" w:hAnsi="Arial" w:cs="Arial"/>
        </w:rPr>
        <w:t>. The dotted/solid curves correspond to MCS 16/22, respectively</w:t>
      </w:r>
      <w:r>
        <w:rPr>
          <w:rFonts w:ascii="Arial" w:hAnsi="Arial" w:cs="Arial"/>
        </w:rPr>
        <w:t>.</w:t>
      </w:r>
    </w:p>
    <w:p w14:paraId="4F681197" w14:textId="650BC9F4" w:rsidR="00994FE3" w:rsidRPr="006A0399" w:rsidRDefault="00994FE3" w:rsidP="003C2819">
      <w:pPr>
        <w:pStyle w:val="BodyText"/>
      </w:pPr>
      <w:bookmarkStart w:id="119" w:name="_Toc52892736"/>
      <w:bookmarkStart w:id="120" w:name="_Toc52893733"/>
      <w:bookmarkStart w:id="121" w:name="_Toc52893878"/>
      <w:bookmarkStart w:id="122" w:name="_Toc52893984"/>
      <w:bookmarkStart w:id="123" w:name="_Toc52894020"/>
      <w:bookmarkStart w:id="124" w:name="_Toc52894070"/>
      <w:bookmarkStart w:id="125" w:name="_Toc53082964"/>
      <w:bookmarkStart w:id="126" w:name="_Toc53085968"/>
      <w:bookmarkStart w:id="127" w:name="_Toc53086141"/>
      <w:bookmarkStart w:id="128" w:name="_Toc53082965"/>
      <w:bookmarkStart w:id="129" w:name="_Toc53085969"/>
      <w:bookmarkStart w:id="130" w:name="_Toc53086142"/>
      <w:bookmarkStart w:id="131" w:name="_Toc53086143"/>
      <w:bookmarkEnd w:id="119"/>
      <w:bookmarkEnd w:id="120"/>
      <w:bookmarkEnd w:id="121"/>
      <w:bookmarkEnd w:id="122"/>
      <w:bookmarkEnd w:id="123"/>
      <w:bookmarkEnd w:id="124"/>
      <w:bookmarkEnd w:id="125"/>
      <w:bookmarkEnd w:id="126"/>
      <w:bookmarkEnd w:id="127"/>
      <w:bookmarkEnd w:id="128"/>
      <w:bookmarkEnd w:id="129"/>
      <w:bookmarkEnd w:id="130"/>
      <w:bookmarkEnd w:id="131"/>
    </w:p>
    <w:p w14:paraId="69A4D00D" w14:textId="5FD415E1" w:rsidR="00DD26FC" w:rsidRDefault="00812499" w:rsidP="00812499">
      <w:pPr>
        <w:pStyle w:val="Heading3"/>
      </w:pPr>
      <w:bookmarkStart w:id="132" w:name="_Toc53775895"/>
      <w:r>
        <w:t>3.</w:t>
      </w:r>
      <w:r w:rsidR="00A7546B">
        <w:t>3</w:t>
      </w:r>
      <w:r>
        <w:t>.3</w:t>
      </w:r>
      <w:r>
        <w:tab/>
      </w:r>
      <w:r w:rsidR="0081458C">
        <w:t xml:space="preserve">Summary of </w:t>
      </w:r>
      <w:r w:rsidR="00682DD2">
        <w:t>l</w:t>
      </w:r>
      <w:r>
        <w:t>ink level evaluation</w:t>
      </w:r>
      <w:r w:rsidR="00573EBA">
        <w:t xml:space="preserve"> results</w:t>
      </w:r>
      <w:bookmarkEnd w:id="132"/>
    </w:p>
    <w:p w14:paraId="74B636B2" w14:textId="1A62F9F1" w:rsidR="00DB3608" w:rsidRPr="006A0399" w:rsidRDefault="00DE6555" w:rsidP="003C2819">
      <w:pPr>
        <w:pStyle w:val="BodyText"/>
      </w:pPr>
      <w:r w:rsidRPr="006A0399">
        <w:t>Exte</w:t>
      </w:r>
      <w:r>
        <w:t xml:space="preserve">nsive link evaluation results are presented and tabulated in </w:t>
      </w:r>
      <w:r w:rsidR="00534167">
        <w:fldChar w:fldCharType="begin"/>
      </w:r>
      <w:r w:rsidR="00534167">
        <w:instrText xml:space="preserve"> REF _Ref53396159 \r \h </w:instrText>
      </w:r>
      <w:r w:rsidR="00534167">
        <w:fldChar w:fldCharType="separate"/>
      </w:r>
      <w:r w:rsidR="00BE31F7">
        <w:t>[7]</w:t>
      </w:r>
      <w:r w:rsidR="00534167">
        <w:fldChar w:fldCharType="end"/>
      </w:r>
      <w:r>
        <w:t>.</w:t>
      </w:r>
      <w:r w:rsidR="00534167">
        <w:t xml:space="preserve"> In this section, we highlight </w:t>
      </w:r>
      <w:r w:rsidR="000748F5">
        <w:t xml:space="preserve">several important observations and conclusions from the </w:t>
      </w:r>
      <w:r w:rsidR="002B3C99">
        <w:t>collection of results.</w:t>
      </w:r>
    </w:p>
    <w:p w14:paraId="66914741" w14:textId="5D90B650" w:rsidR="00812499" w:rsidRDefault="002E4E84" w:rsidP="003C2819">
      <w:pPr>
        <w:pStyle w:val="Heading4"/>
      </w:pPr>
      <w:bookmarkStart w:id="133" w:name="_Toc53775896"/>
      <w:r>
        <w:lastRenderedPageBreak/>
        <w:t>3.3.3.1</w:t>
      </w:r>
      <w:r w:rsidR="00E721D3">
        <w:tab/>
      </w:r>
      <w:r w:rsidR="00812499">
        <w:t>CP-OFDM</w:t>
      </w:r>
      <w:r w:rsidR="0024779D">
        <w:t xml:space="preserve"> </w:t>
      </w:r>
      <w:r w:rsidR="00AC55A2">
        <w:t xml:space="preserve">with </w:t>
      </w:r>
      <w:r w:rsidR="0024779D">
        <w:t>NCP</w:t>
      </w:r>
      <w:bookmarkEnd w:id="133"/>
    </w:p>
    <w:p w14:paraId="54D7FA30" w14:textId="10056706" w:rsidR="00BA3E49" w:rsidRDefault="005833F6" w:rsidP="00BA3E49">
      <w:pPr>
        <w:pStyle w:val="BodyText"/>
      </w:pPr>
      <w:r>
        <w:t>For the TDL-A channel with 10</w:t>
      </w:r>
      <w:r w:rsidR="002366E4">
        <w:t xml:space="preserve"> </w:t>
      </w:r>
      <w:r w:rsidR="00C73FC2">
        <w:t xml:space="preserve">and </w:t>
      </w:r>
      <w:r>
        <w:t xml:space="preserve">40 ns, we have presented and discussed the link performance with CPE or simple ICI compensation in </w:t>
      </w:r>
      <w:r w:rsidR="0067755D">
        <w:t>Section 3.3.1 and 3.3.2, respectively</w:t>
      </w:r>
      <w:r>
        <w:t xml:space="preserve">. </w:t>
      </w:r>
      <w:r w:rsidR="00BA3E49">
        <w:t>To further summarize and crystallize the above link performance results</w:t>
      </w:r>
      <w:r w:rsidR="00D367CB">
        <w:t xml:space="preserve"> we compare 480 kHz and 960 kHz SCS for 1.6 GHz bandwidth in </w:t>
      </w:r>
      <w:r w:rsidR="00BA3E49">
        <w:fldChar w:fldCharType="begin"/>
      </w:r>
      <w:r w:rsidR="00BA3E49">
        <w:instrText xml:space="preserve"> REF _Ref53086176 \h </w:instrText>
      </w:r>
      <w:r w:rsidR="00BA3E49">
        <w:fldChar w:fldCharType="separate"/>
      </w:r>
      <w:r w:rsidR="00BE31F7" w:rsidRPr="00E171B2">
        <w:rPr>
          <w:rFonts w:asciiTheme="minorBidi" w:hAnsiTheme="minorBidi" w:cstheme="minorBidi"/>
        </w:rPr>
        <w:t xml:space="preserve">Figure </w:t>
      </w:r>
      <w:r w:rsidR="00BE31F7">
        <w:rPr>
          <w:rFonts w:asciiTheme="minorBidi" w:hAnsiTheme="minorBidi" w:cstheme="minorBidi"/>
          <w:noProof/>
        </w:rPr>
        <w:t>24</w:t>
      </w:r>
      <w:r w:rsidR="00BA3E49">
        <w:fldChar w:fldCharType="end"/>
      </w:r>
      <w:r w:rsidR="00D367CB">
        <w:t xml:space="preserve"> for the case of </w:t>
      </w:r>
      <w:r w:rsidR="00BA3E49">
        <w:t>MCS22</w:t>
      </w:r>
      <w:r w:rsidR="00D367CB">
        <w:t xml:space="preserve">. From this comparison, </w:t>
      </w:r>
      <w:r w:rsidR="00BA3E49">
        <w:t>we can conclude that the performance with SCS of 480 kHz with simple ICI compensation is on par or better than the performance with 960 kHz with CPE compensation only.</w:t>
      </w:r>
    </w:p>
    <w:p w14:paraId="7BBA31F4" w14:textId="3307DFB8" w:rsidR="00AB3B1C" w:rsidRDefault="00AB3B1C" w:rsidP="00AB3B1C">
      <w:pPr>
        <w:pStyle w:val="Proposal"/>
      </w:pPr>
      <w:bookmarkStart w:id="134" w:name="_Toc53584492"/>
      <w:bookmarkStart w:id="135" w:name="_Toc53655907"/>
      <w:bookmarkStart w:id="136" w:name="_Toc53740244"/>
      <w:bookmarkStart w:id="137" w:name="_Toc53740342"/>
      <w:bookmarkStart w:id="138" w:name="_Toc53740408"/>
      <w:bookmarkStart w:id="139" w:name="_Toc53740473"/>
      <w:bookmarkStart w:id="140" w:name="_Toc53740537"/>
      <w:bookmarkStart w:id="141" w:name="_Toc53774102"/>
      <w:bookmarkStart w:id="142" w:name="_Toc53776192"/>
      <w:bookmarkEnd w:id="134"/>
      <w:bookmarkEnd w:id="135"/>
      <w:bookmarkEnd w:id="136"/>
      <w:bookmarkEnd w:id="137"/>
      <w:bookmarkEnd w:id="138"/>
      <w:bookmarkEnd w:id="139"/>
      <w:bookmarkEnd w:id="140"/>
      <w:bookmarkEnd w:id="141"/>
      <w:r>
        <w:t xml:space="preserve">Capture the following observation in TR 38.808: </w:t>
      </w:r>
      <w:r w:rsidRPr="00D55D0C">
        <w:t xml:space="preserve">Systems with smaller sub-carrier spacing equipped with simple ICI compensation </w:t>
      </w:r>
      <w:r>
        <w:t>is on par or better than</w:t>
      </w:r>
      <w:r w:rsidRPr="00D55D0C" w:rsidDel="00767E46">
        <w:t xml:space="preserve"> </w:t>
      </w:r>
      <w:r w:rsidRPr="00D55D0C">
        <w:t>systems with larger sub-carrier spacing equipped with only CPE compensation</w:t>
      </w:r>
      <w:r>
        <w:t>.</w:t>
      </w:r>
      <w:bookmarkEnd w:id="142"/>
    </w:p>
    <w:p w14:paraId="4CBD5BEE" w14:textId="77777777" w:rsidR="00AB3B1C" w:rsidRDefault="00AB3B1C" w:rsidP="00BA3E49">
      <w:pPr>
        <w:pStyle w:val="BodyText"/>
      </w:pPr>
    </w:p>
    <w:p w14:paraId="7CA5F0FB" w14:textId="5B4B9A83" w:rsidR="00BA3E49" w:rsidRDefault="00D367CB" w:rsidP="004F69A1">
      <w:pPr>
        <w:pStyle w:val="BodyText"/>
        <w:keepNext/>
        <w:tabs>
          <w:tab w:val="center" w:pos="2430"/>
          <w:tab w:val="center" w:pos="7200"/>
        </w:tabs>
        <w:spacing w:after="0"/>
      </w:pPr>
      <w:r>
        <w:tab/>
      </w:r>
      <w:r w:rsidR="7A59311D">
        <w:rPr>
          <w:noProof/>
        </w:rPr>
        <w:drawing>
          <wp:inline distT="0" distB="0" distL="0" distR="0" wp14:anchorId="240E3E3E" wp14:editId="1A756DAC">
            <wp:extent cx="2743200" cy="20574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43200" cy="2057400"/>
                    </a:xfrm>
                    <a:prstGeom prst="rect">
                      <a:avLst/>
                    </a:prstGeom>
                  </pic:spPr>
                </pic:pic>
              </a:graphicData>
            </a:graphic>
          </wp:inline>
        </w:drawing>
      </w:r>
      <w:r>
        <w:tab/>
      </w:r>
      <w:r>
        <w:rPr>
          <w:noProof/>
        </w:rPr>
        <w:drawing>
          <wp:inline distT="0" distB="0" distL="0" distR="0" wp14:anchorId="0D628E1C" wp14:editId="25FD2219">
            <wp:extent cx="2743200" cy="20574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0" cy="2057400"/>
                    </a:xfrm>
                    <a:prstGeom prst="rect">
                      <a:avLst/>
                    </a:prstGeom>
                    <a:noFill/>
                    <a:ln>
                      <a:noFill/>
                    </a:ln>
                  </pic:spPr>
                </pic:pic>
              </a:graphicData>
            </a:graphic>
          </wp:inline>
        </w:drawing>
      </w:r>
    </w:p>
    <w:p w14:paraId="0FD81865" w14:textId="3C6499F0" w:rsidR="00D367CB" w:rsidRDefault="0027169B" w:rsidP="004F69A1">
      <w:pPr>
        <w:pStyle w:val="BodyText"/>
        <w:keepNext/>
        <w:tabs>
          <w:tab w:val="center" w:pos="2430"/>
          <w:tab w:val="center" w:pos="7200"/>
        </w:tabs>
        <w:spacing w:after="0"/>
      </w:pPr>
      <w:r w:rsidRPr="0027169B">
        <w:tab/>
        <w:t>(</w:t>
      </w:r>
      <w:r>
        <w:t>a)</w:t>
      </w:r>
      <w:r>
        <w:tab/>
      </w:r>
      <w:r w:rsidR="00D367CB">
        <w:t>(b)</w:t>
      </w:r>
    </w:p>
    <w:p w14:paraId="58068E33" w14:textId="4E43A1FB" w:rsidR="00D367CB" w:rsidRDefault="00D367CB" w:rsidP="004F69A1">
      <w:pPr>
        <w:pStyle w:val="BodyText"/>
        <w:keepNext/>
        <w:spacing w:after="0"/>
        <w:jc w:val="center"/>
      </w:pPr>
      <w:r>
        <w:rPr>
          <w:noProof/>
        </w:rPr>
        <w:drawing>
          <wp:inline distT="0" distB="0" distL="0" distR="0" wp14:anchorId="50478A3B" wp14:editId="7B11DEE9">
            <wp:extent cx="2743200" cy="20574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43200" cy="2057400"/>
                    </a:xfrm>
                    <a:prstGeom prst="rect">
                      <a:avLst/>
                    </a:prstGeom>
                  </pic:spPr>
                </pic:pic>
              </a:graphicData>
            </a:graphic>
          </wp:inline>
        </w:drawing>
      </w:r>
    </w:p>
    <w:p w14:paraId="13A9EB7C" w14:textId="70E33B2A" w:rsidR="00D367CB" w:rsidRDefault="00D367CB" w:rsidP="004F69A1">
      <w:pPr>
        <w:pStyle w:val="BodyText"/>
        <w:keepNext/>
        <w:spacing w:after="0"/>
        <w:jc w:val="center"/>
      </w:pPr>
      <w:r>
        <w:t>(c)</w:t>
      </w:r>
    </w:p>
    <w:p w14:paraId="051ABC75" w14:textId="244991C7" w:rsidR="00BA3E49" w:rsidRPr="00E171B2" w:rsidRDefault="00BA3E49" w:rsidP="00BA3E49">
      <w:pPr>
        <w:pStyle w:val="Caption"/>
        <w:jc w:val="both"/>
        <w:rPr>
          <w:rFonts w:asciiTheme="minorBidi" w:hAnsiTheme="minorBidi" w:cstheme="minorBidi"/>
        </w:rPr>
      </w:pPr>
      <w:bookmarkStart w:id="143" w:name="_Ref53086176"/>
      <w:bookmarkStart w:id="144" w:name="_Ref53395088"/>
      <w:r w:rsidRPr="00E171B2">
        <w:rPr>
          <w:rFonts w:asciiTheme="minorBidi" w:hAnsiTheme="minorBidi" w:cstheme="minorBidi"/>
        </w:rPr>
        <w:t xml:space="preserve">Figure </w:t>
      </w:r>
      <w:r w:rsidRPr="00E171B2">
        <w:rPr>
          <w:rFonts w:asciiTheme="minorBidi" w:hAnsiTheme="minorBidi" w:cstheme="minorBidi"/>
        </w:rPr>
        <w:fldChar w:fldCharType="begin"/>
      </w:r>
      <w:r w:rsidRPr="00E171B2">
        <w:rPr>
          <w:rFonts w:asciiTheme="minorBidi" w:hAnsiTheme="minorBidi" w:cstheme="minorBidi"/>
        </w:rPr>
        <w:instrText xml:space="preserve"> SEQ Figure \* ARABIC </w:instrText>
      </w:r>
      <w:r w:rsidRPr="00E171B2">
        <w:rPr>
          <w:rFonts w:asciiTheme="minorBidi" w:hAnsiTheme="minorBidi" w:cstheme="minorBidi"/>
        </w:rPr>
        <w:fldChar w:fldCharType="separate"/>
      </w:r>
      <w:r w:rsidR="00BE31F7">
        <w:rPr>
          <w:rFonts w:asciiTheme="minorBidi" w:hAnsiTheme="minorBidi" w:cstheme="minorBidi"/>
          <w:noProof/>
        </w:rPr>
        <w:t>24</w:t>
      </w:r>
      <w:r w:rsidRPr="00E171B2">
        <w:rPr>
          <w:rFonts w:asciiTheme="minorBidi" w:hAnsiTheme="minorBidi" w:cstheme="minorBidi"/>
        </w:rPr>
        <w:fldChar w:fldCharType="end"/>
      </w:r>
      <w:bookmarkEnd w:id="143"/>
      <w:r w:rsidRPr="00E171B2">
        <w:rPr>
          <w:rFonts w:asciiTheme="minorBidi" w:hAnsiTheme="minorBidi" w:cstheme="minorBidi"/>
        </w:rPr>
        <w:t>:  BLER for 480 kHz</w:t>
      </w:r>
      <w:r w:rsidR="0027169B">
        <w:rPr>
          <w:rFonts w:asciiTheme="minorBidi" w:hAnsiTheme="minorBidi" w:cstheme="minorBidi"/>
        </w:rPr>
        <w:t xml:space="preserve"> </w:t>
      </w:r>
      <w:r w:rsidRPr="00E171B2">
        <w:rPr>
          <w:rFonts w:asciiTheme="minorBidi" w:hAnsiTheme="minorBidi" w:cstheme="minorBidi"/>
        </w:rPr>
        <w:t xml:space="preserve">and 960 SCSs </w:t>
      </w:r>
      <w:r w:rsidR="00C53C60">
        <w:rPr>
          <w:rFonts w:asciiTheme="minorBidi" w:hAnsiTheme="minorBidi" w:cstheme="minorBidi"/>
        </w:rPr>
        <w:t xml:space="preserve">for 1.6 GHz bandwidth </w:t>
      </w:r>
      <w:r w:rsidRPr="00E171B2">
        <w:rPr>
          <w:rFonts w:asciiTheme="minorBidi" w:hAnsiTheme="minorBidi" w:cstheme="minorBidi"/>
        </w:rPr>
        <w:t xml:space="preserve">with Rel-15 PT-RS structure </w:t>
      </w:r>
      <w:r w:rsidR="0027169B">
        <w:rPr>
          <w:rFonts w:asciiTheme="minorBidi" w:hAnsiTheme="minorBidi" w:cstheme="minorBidi"/>
        </w:rPr>
        <w:t>with PN model set 1 for TDL-A channel with (a) 10 ns, (b) 20 ns, and (c) 40 ns delay spread.</w:t>
      </w:r>
      <w:bookmarkEnd w:id="144"/>
    </w:p>
    <w:p w14:paraId="26A48758" w14:textId="77777777" w:rsidR="0024779D" w:rsidRDefault="0024779D" w:rsidP="00EC058C">
      <w:pPr>
        <w:pStyle w:val="BodyText"/>
      </w:pPr>
    </w:p>
    <w:p w14:paraId="65929240" w14:textId="3140C00D" w:rsidR="0024779D" w:rsidRDefault="0024779D" w:rsidP="0024779D">
      <w:pPr>
        <w:pStyle w:val="Heading4"/>
      </w:pPr>
      <w:bookmarkStart w:id="145" w:name="_Toc53775897"/>
      <w:r>
        <w:t>3.3.3.2</w:t>
      </w:r>
      <w:r>
        <w:tab/>
        <w:t xml:space="preserve">CP-OFDM </w:t>
      </w:r>
      <w:r w:rsidR="00AC55A2">
        <w:t xml:space="preserve">with </w:t>
      </w:r>
      <w:r w:rsidR="00885D48">
        <w:t>E</w:t>
      </w:r>
      <w:r>
        <w:t>CP</w:t>
      </w:r>
      <w:bookmarkEnd w:id="145"/>
    </w:p>
    <w:p w14:paraId="3A9A1975" w14:textId="7761C859" w:rsidR="00E27926" w:rsidRDefault="0024779D" w:rsidP="0024779D">
      <w:pPr>
        <w:pStyle w:val="BodyText"/>
      </w:pPr>
      <w:r>
        <w:t>Th</w:t>
      </w:r>
      <w:r w:rsidR="00E61BA8">
        <w:t>e</w:t>
      </w:r>
      <w:r w:rsidDel="00533368">
        <w:t xml:space="preserve"> </w:t>
      </w:r>
      <w:r>
        <w:t xml:space="preserve">analysis in </w:t>
      </w:r>
      <w:r w:rsidR="00E61BA8">
        <w:t>S</w:t>
      </w:r>
      <w:r>
        <w:t xml:space="preserve">ection </w:t>
      </w:r>
      <w:r w:rsidR="00E917EC">
        <w:t xml:space="preserve">3.2 </w:t>
      </w:r>
      <w:r>
        <w:t>also pertains to the cases where extended CPs are used in conjunction with larger SCS to mitigate the amount of ISI. As tabulated in</w:t>
      </w:r>
      <w:r w:rsidDel="009B754A">
        <w:t xml:space="preserve"> </w:t>
      </w:r>
      <w:r>
        <w:fldChar w:fldCharType="begin"/>
      </w:r>
      <w:r>
        <w:instrText xml:space="preserve"> REF _Ref53406619 \h </w:instrText>
      </w:r>
      <w:r w:rsidR="00B04ED4">
        <w:rPr>
          <w:noProof/>
        </w:rPr>
        <w:instrText>11</w:instrText>
      </w:r>
      <w:r w:rsidR="004F69A1">
        <w:fldChar w:fldCharType="separate"/>
      </w:r>
      <w:r w:rsidR="00BE31F7">
        <w:rPr>
          <w:b/>
          <w:bCs/>
        </w:rPr>
        <w:t>Error! Reference source not found.</w:t>
      </w:r>
      <w:r>
        <w:fldChar w:fldCharType="end"/>
      </w:r>
      <w:r>
        <w:t xml:space="preserve">, the durations of the extended CPs for the 960 kHz SCS can be similar or even longer than that for the 480 kHz SCS. However, what matters at the end for the link and system performance is the SIR which depends not only on the amount of accumulated ISI energy but also the amount of accumulated signal energy. </w:t>
      </w:r>
      <w:r w:rsidR="001A0954">
        <w:t xml:space="preserve">From </w:t>
      </w:r>
      <w:r w:rsidR="00E27926">
        <w:t>the SIR formula</w:t>
      </w:r>
      <w:r w:rsidR="00C16F87">
        <w:t xml:space="preserve"> in Section 3.2</w:t>
      </w:r>
      <w:r w:rsidR="00E27926">
        <w:t>, it can be observed</w:t>
      </w:r>
      <w:r w:rsidR="00E27926" w:rsidDel="00A84D00">
        <w:t xml:space="preserve"> </w:t>
      </w:r>
      <w:r w:rsidR="00E27926">
        <w:t xml:space="preserve">that given fixed </w:t>
      </w:r>
      <w:r w:rsidR="00E27926" w:rsidRPr="00EA0A41">
        <w:t xml:space="preserve">tap powers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n</m:t>
                </m:r>
              </m:sub>
            </m:sSub>
          </m:e>
        </m:d>
      </m:oMath>
      <w:r w:rsidR="00E27926">
        <w:t xml:space="preserve">, the numerator is directly proportional to the OFDM symbol duration </w:t>
      </w:r>
      <m:oMath>
        <m:sSub>
          <m:sSubPr>
            <m:ctrlPr>
              <w:rPr>
                <w:rFonts w:ascii="Cambria Math" w:hAnsi="Cambria Math"/>
                <w:i/>
              </w:rPr>
            </m:ctrlPr>
          </m:sSubPr>
          <m:e>
            <m:r>
              <w:rPr>
                <w:rFonts w:ascii="Cambria Math" w:hAnsi="Cambria Math"/>
              </w:rPr>
              <m:t>T</m:t>
            </m:r>
          </m:e>
          <m:sub>
            <m:r>
              <w:rPr>
                <w:rFonts w:ascii="Cambria Math" w:hAnsi="Cambria Math"/>
              </w:rPr>
              <m:t>symb</m:t>
            </m:r>
          </m:sub>
        </m:sSub>
      </m:oMath>
      <w:r w:rsidR="00E27926">
        <w:t xml:space="preserve"> which becomes shorter with larger SCS</w:t>
      </w:r>
      <w:r w:rsidR="00E27926" w:rsidDel="0031311A">
        <w:t>.</w:t>
      </w:r>
      <w:r w:rsidR="00E27926">
        <w:t xml:space="preserve"> Therefore, SIR can still be severely limited by short OFDM symbol duration associated with large SCSs even </w:t>
      </w:r>
      <w:r w:rsidR="003B317D">
        <w:t xml:space="preserve">with extended CPs. </w:t>
      </w:r>
    </w:p>
    <w:p w14:paraId="3D223CD1" w14:textId="0D9804B0" w:rsidR="0024779D" w:rsidRPr="004370BD" w:rsidRDefault="0024779D" w:rsidP="0024779D">
      <w:pPr>
        <w:pStyle w:val="TF"/>
        <w:keepLines w:val="0"/>
        <w:spacing w:before="0" w:after="240"/>
        <w:rPr>
          <w:lang w:val="en-US"/>
        </w:rPr>
      </w:pPr>
      <w:r>
        <w:rPr>
          <w:lang w:val="en-US"/>
        </w:rPr>
        <w:lastRenderedPageBreak/>
        <w:t>Figure</w:t>
      </w:r>
      <w:r w:rsidRPr="00731273">
        <w:rPr>
          <w:lang w:val="en-US"/>
        </w:rPr>
        <w:t xml:space="preserve"> </w:t>
      </w:r>
      <w:r w:rsidRPr="00731273">
        <w:rPr>
          <w:lang w:val="en-US"/>
        </w:rPr>
        <w:fldChar w:fldCharType="begin"/>
      </w:r>
      <w:r w:rsidRPr="00731273">
        <w:rPr>
          <w:lang w:val="en-US"/>
        </w:rPr>
        <w:instrText xml:space="preserve"> SEQ Figure \* ARABIC </w:instrText>
      </w:r>
      <w:r w:rsidRPr="00731273">
        <w:rPr>
          <w:lang w:val="en-US"/>
        </w:rPr>
        <w:fldChar w:fldCharType="separate"/>
      </w:r>
      <w:r w:rsidR="00BE31F7">
        <w:rPr>
          <w:noProof/>
          <w:lang w:val="en-US"/>
        </w:rPr>
        <w:t>25</w:t>
      </w:r>
      <w:r w:rsidRPr="00731273">
        <w:rPr>
          <w:lang w:val="en-US"/>
        </w:rPr>
        <w:fldChar w:fldCharType="end"/>
      </w:r>
      <w:r w:rsidRPr="00731273">
        <w:rPr>
          <w:lang w:val="en-US"/>
        </w:rPr>
        <w:t>:</w:t>
      </w:r>
      <w:r>
        <w:rPr>
          <w:lang w:val="en-US"/>
        </w:rPr>
        <w:t xml:space="preserve"> Extended CP durations for different </w:t>
      </w:r>
      <w:r w:rsidRPr="00731273">
        <w:rPr>
          <w:lang w:val="en-US"/>
        </w:rPr>
        <w:t>sub-carrier spacing</w:t>
      </w:r>
      <w:r>
        <w:rPr>
          <w:lang w:val="en-US"/>
        </w:rPr>
        <w:t>s</w:t>
      </w:r>
    </w:p>
    <w:tbl>
      <w:tblPr>
        <w:tblStyle w:val="TableGrid"/>
        <w:tblW w:w="0" w:type="auto"/>
        <w:jc w:val="center"/>
        <w:tblLook w:val="04A0" w:firstRow="1" w:lastRow="0" w:firstColumn="1" w:lastColumn="0" w:noHBand="0" w:noVBand="1"/>
      </w:tblPr>
      <w:tblGrid>
        <w:gridCol w:w="2158"/>
        <w:gridCol w:w="1062"/>
        <w:gridCol w:w="1063"/>
        <w:gridCol w:w="1063"/>
        <w:gridCol w:w="1030"/>
        <w:gridCol w:w="1183"/>
      </w:tblGrid>
      <w:tr w:rsidR="0024779D" w:rsidRPr="003D63C4" w14:paraId="72E07888" w14:textId="77777777" w:rsidTr="000B49B4">
        <w:trPr>
          <w:jc w:val="center"/>
        </w:trPr>
        <w:tc>
          <w:tcPr>
            <w:tcW w:w="2158" w:type="dxa"/>
            <w:vAlign w:val="bottom"/>
          </w:tcPr>
          <w:p w14:paraId="6583F6DD" w14:textId="77777777" w:rsidR="0024779D" w:rsidRPr="00552480" w:rsidRDefault="0024779D" w:rsidP="000B49B4">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SCS [kHz]</w:t>
            </w:r>
          </w:p>
        </w:tc>
        <w:tc>
          <w:tcPr>
            <w:tcW w:w="1062" w:type="dxa"/>
            <w:vAlign w:val="bottom"/>
          </w:tcPr>
          <w:p w14:paraId="12A26D6E" w14:textId="77777777" w:rsidR="0024779D" w:rsidRPr="00552480" w:rsidRDefault="0024779D" w:rsidP="000B49B4">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120</w:t>
            </w:r>
          </w:p>
        </w:tc>
        <w:tc>
          <w:tcPr>
            <w:tcW w:w="1063" w:type="dxa"/>
            <w:vAlign w:val="bottom"/>
          </w:tcPr>
          <w:p w14:paraId="7C4CD313" w14:textId="77777777" w:rsidR="0024779D" w:rsidRPr="00552480" w:rsidRDefault="0024779D" w:rsidP="000B49B4">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240</w:t>
            </w:r>
          </w:p>
        </w:tc>
        <w:tc>
          <w:tcPr>
            <w:tcW w:w="1063" w:type="dxa"/>
            <w:vAlign w:val="bottom"/>
          </w:tcPr>
          <w:p w14:paraId="2A4A6FFF" w14:textId="77777777" w:rsidR="0024779D" w:rsidRPr="00552480" w:rsidRDefault="0024779D" w:rsidP="000B49B4">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480</w:t>
            </w:r>
          </w:p>
        </w:tc>
        <w:tc>
          <w:tcPr>
            <w:tcW w:w="1030" w:type="dxa"/>
            <w:vAlign w:val="bottom"/>
          </w:tcPr>
          <w:p w14:paraId="04B7594A" w14:textId="77777777" w:rsidR="0024779D" w:rsidRPr="00552480" w:rsidRDefault="0024779D" w:rsidP="000B49B4">
            <w:pPr>
              <w:pStyle w:val="BodyText"/>
              <w:spacing w:before="40" w:after="40"/>
              <w:jc w:val="center"/>
              <w:rPr>
                <w:rFonts w:eastAsiaTheme="minorEastAsia" w:cs="Arial"/>
                <w:color w:val="000000" w:themeColor="text1"/>
                <w:kern w:val="24"/>
              </w:rPr>
            </w:pPr>
            <w:r w:rsidRPr="00552480">
              <w:rPr>
                <w:rFonts w:eastAsiaTheme="minorEastAsia" w:cs="Arial"/>
                <w:color w:val="000000" w:themeColor="text1"/>
                <w:kern w:val="24"/>
              </w:rPr>
              <w:t>960</w:t>
            </w:r>
          </w:p>
        </w:tc>
        <w:tc>
          <w:tcPr>
            <w:tcW w:w="1183" w:type="dxa"/>
          </w:tcPr>
          <w:p w14:paraId="08E92296" w14:textId="77777777" w:rsidR="0024779D" w:rsidRPr="00552480" w:rsidRDefault="0024779D" w:rsidP="000B49B4">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Overhead</w:t>
            </w:r>
          </w:p>
        </w:tc>
      </w:tr>
      <w:tr w:rsidR="0024779D" w:rsidRPr="003D63C4" w14:paraId="5DB3B697" w14:textId="77777777" w:rsidTr="000B49B4">
        <w:trPr>
          <w:jc w:val="center"/>
        </w:trPr>
        <w:tc>
          <w:tcPr>
            <w:tcW w:w="2158" w:type="dxa"/>
            <w:vAlign w:val="bottom"/>
          </w:tcPr>
          <w:p w14:paraId="287CE169" w14:textId="77777777" w:rsidR="0024779D" w:rsidRDefault="0024779D" w:rsidP="000B49B4">
            <w:pPr>
              <w:pStyle w:val="BodyText"/>
              <w:spacing w:before="40" w:after="40"/>
              <w:jc w:val="center"/>
              <w:rPr>
                <w:rFonts w:eastAsiaTheme="minorEastAsia" w:cs="Arial"/>
                <w:color w:val="000000" w:themeColor="text1"/>
                <w:kern w:val="24"/>
              </w:rPr>
            </w:pPr>
            <w:r>
              <w:rPr>
                <w:rFonts w:eastAsiaTheme="minorEastAsia" w:cs="Arial"/>
                <w:color w:val="000000" w:themeColor="text1"/>
                <w:kern w:val="24"/>
              </w:rPr>
              <w:t xml:space="preserve">ECP </w:t>
            </w:r>
            <w:r w:rsidRPr="00552480">
              <w:rPr>
                <w:rFonts w:eastAsiaTheme="minorEastAsia" w:cs="Arial"/>
                <w:color w:val="000000" w:themeColor="text1"/>
                <w:kern w:val="24"/>
              </w:rPr>
              <w:t>duration [</w:t>
            </w:r>
            <w:r>
              <w:rPr>
                <w:rFonts w:eastAsiaTheme="minorEastAsia" w:cs="Arial"/>
                <w:color w:val="000000" w:themeColor="text1"/>
                <w:kern w:val="24"/>
              </w:rPr>
              <w:t>n</w:t>
            </w:r>
            <w:r w:rsidRPr="00552480">
              <w:rPr>
                <w:rFonts w:eastAsiaTheme="minorEastAsia" w:cs="Arial"/>
                <w:color w:val="000000" w:themeColor="text1"/>
                <w:kern w:val="24"/>
              </w:rPr>
              <w:t>s]</w:t>
            </w:r>
          </w:p>
        </w:tc>
        <w:tc>
          <w:tcPr>
            <w:tcW w:w="1062" w:type="dxa"/>
          </w:tcPr>
          <w:p w14:paraId="59E0311D" w14:textId="77777777" w:rsidR="0024779D" w:rsidRPr="00931B68" w:rsidRDefault="0024779D" w:rsidP="000B49B4">
            <w:pPr>
              <w:pStyle w:val="BodyText"/>
              <w:spacing w:before="40" w:after="40"/>
              <w:jc w:val="center"/>
            </w:pPr>
            <w:r w:rsidRPr="00776B6E">
              <w:t>2083.3</w:t>
            </w:r>
          </w:p>
        </w:tc>
        <w:tc>
          <w:tcPr>
            <w:tcW w:w="1063" w:type="dxa"/>
          </w:tcPr>
          <w:p w14:paraId="08C919AD" w14:textId="77777777" w:rsidR="0024779D" w:rsidRPr="00931B68" w:rsidRDefault="0024779D" w:rsidP="000B49B4">
            <w:pPr>
              <w:pStyle w:val="BodyText"/>
              <w:spacing w:before="40" w:after="40"/>
              <w:jc w:val="center"/>
            </w:pPr>
            <w:r w:rsidRPr="00776B6E">
              <w:t>1041.7</w:t>
            </w:r>
          </w:p>
        </w:tc>
        <w:tc>
          <w:tcPr>
            <w:tcW w:w="1063" w:type="dxa"/>
          </w:tcPr>
          <w:p w14:paraId="25EACA28" w14:textId="77777777" w:rsidR="0024779D" w:rsidRPr="00931B68" w:rsidRDefault="0024779D" w:rsidP="000B49B4">
            <w:pPr>
              <w:pStyle w:val="BodyText"/>
              <w:spacing w:before="40" w:after="40"/>
              <w:jc w:val="center"/>
            </w:pPr>
            <w:r w:rsidRPr="00776B6E">
              <w:t>520.8</w:t>
            </w:r>
          </w:p>
        </w:tc>
        <w:tc>
          <w:tcPr>
            <w:tcW w:w="1030" w:type="dxa"/>
          </w:tcPr>
          <w:p w14:paraId="3B5A1EDF" w14:textId="77777777" w:rsidR="0024779D" w:rsidRPr="00931B68" w:rsidRDefault="0024779D" w:rsidP="000B49B4">
            <w:pPr>
              <w:pStyle w:val="BodyText"/>
              <w:spacing w:before="40" w:after="40"/>
              <w:jc w:val="center"/>
            </w:pPr>
            <w:r w:rsidRPr="00776B6E">
              <w:t>260.4</w:t>
            </w:r>
          </w:p>
        </w:tc>
        <w:tc>
          <w:tcPr>
            <w:tcW w:w="1183" w:type="dxa"/>
          </w:tcPr>
          <w:p w14:paraId="0B5F2FA6" w14:textId="77777777" w:rsidR="0024779D" w:rsidRDefault="0024779D" w:rsidP="000B49B4">
            <w:pPr>
              <w:pStyle w:val="BodyText"/>
              <w:spacing w:before="40" w:after="40"/>
              <w:jc w:val="center"/>
            </w:pPr>
            <w:r>
              <w:t>20%</w:t>
            </w:r>
          </w:p>
        </w:tc>
      </w:tr>
    </w:tbl>
    <w:p w14:paraId="52709D0A" w14:textId="77777777" w:rsidR="0024779D" w:rsidRDefault="0024779D" w:rsidP="0024779D">
      <w:pPr>
        <w:pStyle w:val="BodyText"/>
      </w:pPr>
    </w:p>
    <w:p w14:paraId="45456ED6" w14:textId="77777777" w:rsidR="0024779D" w:rsidRDefault="0024779D" w:rsidP="0024779D">
      <w:pPr>
        <w:pStyle w:val="BodyText"/>
      </w:pPr>
      <w:r>
        <w:t xml:space="preserve">Furthermore, data rates are reduced by 15% because of the higher overhead introduced by using extended CP. More specifically, higher MCS will need to be used in conjunction with ECP to achieve the same data rate as with NCP. </w:t>
      </w:r>
      <w:r w:rsidRPr="00F53040">
        <w:t xml:space="preserve">Let </w:t>
      </w:r>
      <m:oMath>
        <m:r>
          <w:rPr>
            <w:rFonts w:ascii="Cambria Math" w:hAnsi="Cambria Math"/>
          </w:rPr>
          <m:t>L</m:t>
        </m:r>
      </m:oMath>
      <w:r w:rsidRPr="00F53040">
        <w:t xml:space="preserve"> and </w:t>
      </w:r>
      <m:oMath>
        <m:sSub>
          <m:sSubPr>
            <m:ctrlPr>
              <w:rPr>
                <w:rFonts w:ascii="Cambria Math" w:hAnsi="Cambria Math"/>
                <w:i/>
              </w:rPr>
            </m:ctrlPr>
          </m:sSubPr>
          <m:e>
            <m:r>
              <w:rPr>
                <w:rFonts w:ascii="Cambria Math" w:hAnsi="Cambria Math"/>
              </w:rPr>
              <m:t>R</m:t>
            </m:r>
          </m:e>
          <m:sub>
            <m:r>
              <w:rPr>
                <w:rFonts w:ascii="Cambria Math" w:hAnsi="Cambria Math"/>
              </w:rPr>
              <m:t>ncp</m:t>
            </m:r>
          </m:sub>
        </m:sSub>
        <m:r>
          <w:rPr>
            <w:rFonts w:ascii="Cambria Math" w:hAnsi="Cambria Math"/>
          </w:rPr>
          <m:t xml:space="preserve"> </m:t>
        </m:r>
      </m:oMath>
      <w:r w:rsidRPr="00F53040">
        <w:t xml:space="preserve">denote the allocated # of OS and code rate for NCP, respectively. Assuming one DMRS OS, the code rate for ECP should be raised to </w:t>
      </w:r>
      <m:oMath>
        <m:sSub>
          <m:sSubPr>
            <m:ctrlPr>
              <w:rPr>
                <w:rFonts w:ascii="Cambria Math" w:hAnsi="Cambria Math"/>
                <w:i/>
              </w:rPr>
            </m:ctrlPr>
          </m:sSubPr>
          <m:e>
            <m:r>
              <w:rPr>
                <w:rFonts w:ascii="Cambria Math" w:hAnsi="Cambria Math"/>
              </w:rPr>
              <m:t>R</m:t>
            </m:r>
          </m:e>
          <m:sub>
            <m:r>
              <w:rPr>
                <w:rFonts w:ascii="Cambria Math" w:hAnsi="Cambria Math"/>
              </w:rPr>
              <m:t>ecp</m:t>
            </m:r>
          </m:sub>
        </m:sSub>
        <m:r>
          <w:rPr>
            <w:rFonts w:ascii="Cambria Math" w:hAnsi="Cambria Math"/>
          </w:rPr>
          <m:t>=</m:t>
        </m:r>
        <m:d>
          <m:dPr>
            <m:ctrlPr>
              <w:rPr>
                <w:rFonts w:ascii="Cambria Math" w:hAnsi="Cambria Math"/>
                <w:i/>
              </w:rPr>
            </m:ctrlPr>
          </m:dPr>
          <m:e>
            <m:r>
              <w:rPr>
                <w:rFonts w:ascii="Cambria Math" w:hAnsi="Cambria Math"/>
              </w:rPr>
              <m:t>L-1</m:t>
            </m:r>
          </m:e>
        </m:d>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ncp</m:t>
            </m:r>
          </m:sub>
        </m:sSub>
        <m:r>
          <w:rPr>
            <w:rFonts w:ascii="Cambria Math" w:hAnsi="Cambria Math"/>
          </w:rPr>
          <m:t>/(L-3)</m:t>
        </m:r>
      </m:oMath>
      <w:r w:rsidRPr="00F53040">
        <w:t xml:space="preserve">. For the example of </w:t>
      </w:r>
      <m:oMath>
        <m:r>
          <w:rPr>
            <w:rFonts w:ascii="Cambria Math" w:hAnsi="Cambria Math"/>
          </w:rPr>
          <m:t>L=12</m:t>
        </m:r>
      </m:oMath>
      <w:r w:rsidRPr="00F53040">
        <w:t xml:space="preserve">, NCP MCS16 </w:t>
      </w:r>
      <w:r>
        <w:t xml:space="preserve">achieves higher data rate than </w:t>
      </w:r>
      <w:r w:rsidRPr="00F53040">
        <w:t>ECP MCS19 (64QAM).</w:t>
      </w:r>
      <w:r>
        <w:t xml:space="preserve"> </w:t>
      </w:r>
      <w:r w:rsidRPr="00F53040">
        <w:t xml:space="preserve">NCP MCS22 </w:t>
      </w:r>
      <w:r>
        <w:t xml:space="preserve">achieves similar data rate as </w:t>
      </w:r>
      <w:r w:rsidRPr="00F53040">
        <w:t>ECP MCS25.</w:t>
      </w:r>
    </w:p>
    <w:p w14:paraId="3C982F7F" w14:textId="07AF34FE" w:rsidR="00A909FC" w:rsidRDefault="001A0954" w:rsidP="00EC058C">
      <w:pPr>
        <w:pStyle w:val="BodyText"/>
      </w:pPr>
      <w:r>
        <w:t xml:space="preserve">From </w:t>
      </w:r>
      <w:r w:rsidR="00C16F87">
        <w:fldChar w:fldCharType="begin"/>
      </w:r>
      <w:r w:rsidR="00C16F87">
        <w:instrText xml:space="preserve"> REF _Ref53086176 \h </w:instrText>
      </w:r>
      <w:r w:rsidR="00C16F87">
        <w:fldChar w:fldCharType="separate"/>
      </w:r>
      <w:r w:rsidR="00BE31F7" w:rsidRPr="00E171B2">
        <w:rPr>
          <w:rFonts w:asciiTheme="minorBidi" w:hAnsiTheme="minorBidi" w:cstheme="minorBidi"/>
        </w:rPr>
        <w:t xml:space="preserve">Figure </w:t>
      </w:r>
      <w:r w:rsidR="00BE31F7">
        <w:rPr>
          <w:rFonts w:asciiTheme="minorBidi" w:hAnsiTheme="minorBidi" w:cstheme="minorBidi"/>
          <w:noProof/>
        </w:rPr>
        <w:t>24</w:t>
      </w:r>
      <w:r w:rsidR="00C16F87">
        <w:fldChar w:fldCharType="end"/>
      </w:r>
      <w:r>
        <w:t>, we can observe that 960</w:t>
      </w:r>
      <w:r w:rsidR="00E53989">
        <w:t xml:space="preserve"> SCS</w:t>
      </w:r>
      <w:r w:rsidR="00E75AD7">
        <w:t xml:space="preserve"> </w:t>
      </w:r>
      <w:r w:rsidR="00E53989">
        <w:t>has signi</w:t>
      </w:r>
      <w:r w:rsidR="00E75AD7">
        <w:t>fi</w:t>
      </w:r>
      <w:r w:rsidR="00E53989">
        <w:t>cant performance loss</w:t>
      </w:r>
      <w:r w:rsidR="00E75AD7">
        <w:t xml:space="preserve"> as compared to 480 SCS</w:t>
      </w:r>
      <w:r w:rsidR="00CF76B7">
        <w:t xml:space="preserve"> in TDL-A 40 ns channel </w:t>
      </w:r>
      <w:r w:rsidR="0033136E">
        <w:t>due to ISI caused by channel dispersion because of the shortened CP.</w:t>
      </w:r>
      <w:r w:rsidR="00F211EE">
        <w:t xml:space="preserve"> </w:t>
      </w:r>
      <w:r w:rsidR="00965518">
        <w:t>In terms of BLER, t</w:t>
      </w:r>
      <w:r w:rsidR="00F211EE">
        <w:t>he perform</w:t>
      </w:r>
      <w:r w:rsidR="00680143">
        <w:t>ance</w:t>
      </w:r>
      <w:r w:rsidR="00293495">
        <w:t xml:space="preserve"> </w:t>
      </w:r>
      <w:r w:rsidR="00680143">
        <w:t>loss</w:t>
      </w:r>
      <w:r w:rsidR="005364B2">
        <w:t xml:space="preserve"> </w:t>
      </w:r>
      <w:r w:rsidR="00680143">
        <w:t>due to ISI can be reduced by using extended CP</w:t>
      </w:r>
      <w:r w:rsidR="00293495">
        <w:t xml:space="preserve"> (ECP)</w:t>
      </w:r>
      <w:r w:rsidR="00680143">
        <w:t xml:space="preserve">. </w:t>
      </w:r>
      <w:r w:rsidR="00BB009D">
        <w:t>However, data rates are</w:t>
      </w:r>
      <w:r w:rsidR="0039431D">
        <w:t xml:space="preserve"> also</w:t>
      </w:r>
      <w:r w:rsidR="00BB009D">
        <w:t xml:space="preserve"> reduced by 15% because of the higher overhead introduced by using extended CP</w:t>
      </w:r>
      <w:r w:rsidR="006634C0">
        <w:t xml:space="preserve">. </w:t>
      </w:r>
      <w:r w:rsidR="00026DE2">
        <w:t xml:space="preserve"> </w:t>
      </w:r>
      <w:r w:rsidR="00A909FC">
        <w:t xml:space="preserve">To have fair comparison between </w:t>
      </w:r>
      <w:r w:rsidR="0069478E">
        <w:t xml:space="preserve">NCP and ECP, </w:t>
      </w:r>
      <w:r w:rsidR="007276E2">
        <w:t xml:space="preserve">we provide link performance </w:t>
      </w:r>
      <w:r w:rsidR="00B67953">
        <w:t>for</w:t>
      </w:r>
      <w:r w:rsidR="007276E2">
        <w:t xml:space="preserve"> the following scenarios </w:t>
      </w:r>
      <w:r w:rsidR="0082222D">
        <w:t xml:space="preserve">in </w:t>
      </w:r>
      <w:r w:rsidR="00A64E24">
        <w:fldChar w:fldCharType="begin"/>
      </w:r>
      <w:r w:rsidR="00A64E24">
        <w:instrText xml:space="preserve"> REF _Ref53437713 \h </w:instrText>
      </w:r>
      <w:r w:rsidR="00A64E24">
        <w:fldChar w:fldCharType="separate"/>
      </w:r>
      <w:r w:rsidR="00BE31F7" w:rsidRPr="00B57DBE">
        <w:rPr>
          <w:rFonts w:asciiTheme="minorBidi" w:hAnsiTheme="minorBidi" w:cstheme="minorBidi"/>
        </w:rPr>
        <w:t xml:space="preserve">Figure </w:t>
      </w:r>
      <w:r w:rsidR="00BE31F7">
        <w:rPr>
          <w:rFonts w:asciiTheme="minorBidi" w:hAnsiTheme="minorBidi" w:cstheme="minorBidi"/>
          <w:noProof/>
        </w:rPr>
        <w:t>26</w:t>
      </w:r>
      <w:r w:rsidR="00A64E24">
        <w:fldChar w:fldCharType="end"/>
      </w:r>
      <w:r w:rsidR="00661265">
        <w:t>.</w:t>
      </w:r>
      <w:r w:rsidR="007276E2">
        <w:t xml:space="preserve"> </w:t>
      </w:r>
    </w:p>
    <w:p w14:paraId="437627F0" w14:textId="7D68673C" w:rsidR="00CE3066" w:rsidRDefault="00CE3066" w:rsidP="00CE3066">
      <w:pPr>
        <w:pStyle w:val="BodyText"/>
        <w:numPr>
          <w:ilvl w:val="0"/>
          <w:numId w:val="73"/>
        </w:numPr>
        <w:spacing w:after="0"/>
      </w:pPr>
      <w:r>
        <w:t>256</w:t>
      </w:r>
      <w:r w:rsidRPr="00D55D0C">
        <w:t xml:space="preserve"> RBs @ 480 kHz SCS</w:t>
      </w:r>
      <w:r w:rsidR="007E5EB3">
        <w:t xml:space="preserve"> (1600 MHz BW)</w:t>
      </w:r>
    </w:p>
    <w:p w14:paraId="0C94E2A7" w14:textId="4E980B47" w:rsidR="00CE3066" w:rsidRDefault="00CE3066" w:rsidP="00CE3066">
      <w:pPr>
        <w:pStyle w:val="BodyText"/>
        <w:numPr>
          <w:ilvl w:val="1"/>
          <w:numId w:val="73"/>
        </w:numPr>
        <w:spacing w:after="0"/>
      </w:pPr>
      <w:r>
        <w:t xml:space="preserve">NCP: MCS22 with ICI compensation </w:t>
      </w:r>
    </w:p>
    <w:p w14:paraId="2F847D42" w14:textId="3DC05E63" w:rsidR="00CA0D3A" w:rsidRPr="00D55D0C" w:rsidRDefault="00CE3066" w:rsidP="004F69A1">
      <w:pPr>
        <w:pStyle w:val="BodyText"/>
        <w:numPr>
          <w:ilvl w:val="0"/>
          <w:numId w:val="73"/>
        </w:numPr>
        <w:spacing w:after="0"/>
      </w:pPr>
      <w:r>
        <w:t>128</w:t>
      </w:r>
      <w:r w:rsidRPr="00D55D0C">
        <w:t xml:space="preserve"> RBs @ 960 kHz SCS</w:t>
      </w:r>
      <w:r w:rsidR="007E5EB3">
        <w:t xml:space="preserve"> (1600 MHz BW)</w:t>
      </w:r>
    </w:p>
    <w:p w14:paraId="5A76E01D" w14:textId="0B161A1B" w:rsidR="006F21AE" w:rsidRDefault="006F21AE" w:rsidP="006F21AE">
      <w:pPr>
        <w:pStyle w:val="BodyText"/>
        <w:numPr>
          <w:ilvl w:val="1"/>
          <w:numId w:val="72"/>
        </w:numPr>
        <w:spacing w:after="0"/>
      </w:pPr>
      <w:r>
        <w:t>NCP</w:t>
      </w:r>
      <w:r w:rsidR="003F12DB">
        <w:t>:</w:t>
      </w:r>
      <w:r>
        <w:t xml:space="preserve"> MCS22</w:t>
      </w:r>
      <w:r w:rsidR="009A71B8">
        <w:t xml:space="preserve"> </w:t>
      </w:r>
      <w:r w:rsidR="00233D4F">
        <w:t>with CPE compensation</w:t>
      </w:r>
    </w:p>
    <w:p w14:paraId="3827FC97" w14:textId="0B24E567" w:rsidR="00DB2C8B" w:rsidRDefault="00DB2C8B" w:rsidP="00DB2C8B">
      <w:pPr>
        <w:pStyle w:val="BodyText"/>
        <w:numPr>
          <w:ilvl w:val="1"/>
          <w:numId w:val="72"/>
        </w:numPr>
        <w:spacing w:after="0"/>
      </w:pPr>
      <w:r>
        <w:t>NCP</w:t>
      </w:r>
      <w:r w:rsidR="003F12DB">
        <w:t>:</w:t>
      </w:r>
      <w:r>
        <w:t xml:space="preserve"> MCS22 with ICI compensation</w:t>
      </w:r>
    </w:p>
    <w:p w14:paraId="4DEBFD86" w14:textId="00CE539E" w:rsidR="003F12DB" w:rsidRDefault="003F12DB" w:rsidP="003F12DB">
      <w:pPr>
        <w:pStyle w:val="BodyText"/>
        <w:numPr>
          <w:ilvl w:val="1"/>
          <w:numId w:val="72"/>
        </w:numPr>
        <w:spacing w:after="0"/>
      </w:pPr>
      <w:r>
        <w:t>ECP: MCS22 with CPE compensation</w:t>
      </w:r>
    </w:p>
    <w:p w14:paraId="7169DCD6" w14:textId="3D75EA5F" w:rsidR="003F12DB" w:rsidRDefault="003F12DB" w:rsidP="003F12DB">
      <w:pPr>
        <w:pStyle w:val="BodyText"/>
        <w:numPr>
          <w:ilvl w:val="1"/>
          <w:numId w:val="72"/>
        </w:numPr>
        <w:spacing w:after="0"/>
      </w:pPr>
      <w:r>
        <w:t>ECP: MCS22 with ICI compensation</w:t>
      </w:r>
    </w:p>
    <w:p w14:paraId="59EC9C62" w14:textId="7086A078" w:rsidR="00A10490" w:rsidRDefault="00A10490" w:rsidP="00A10490">
      <w:pPr>
        <w:pStyle w:val="BodyText"/>
        <w:numPr>
          <w:ilvl w:val="1"/>
          <w:numId w:val="72"/>
        </w:numPr>
        <w:spacing w:after="0"/>
      </w:pPr>
      <w:r>
        <w:t>ECP: MCS25 with CPE compensation</w:t>
      </w:r>
    </w:p>
    <w:p w14:paraId="759CAFFF" w14:textId="19A9E5DD" w:rsidR="00233D4F" w:rsidRPr="00D55D0C" w:rsidRDefault="00A10490" w:rsidP="004F69A1">
      <w:pPr>
        <w:pStyle w:val="BodyText"/>
        <w:numPr>
          <w:ilvl w:val="1"/>
          <w:numId w:val="72"/>
        </w:numPr>
      </w:pPr>
      <w:r>
        <w:t>ECP: MCS25 with ICI compensation</w:t>
      </w:r>
    </w:p>
    <w:p w14:paraId="1161796E" w14:textId="45F1ED64" w:rsidR="00695A26" w:rsidRDefault="005F4901" w:rsidP="00232EAE">
      <w:pPr>
        <w:pStyle w:val="BodyText"/>
      </w:pPr>
      <w:r>
        <w:t>We can observe that the performance with SCS of 480 kHz with simple ICI compensation is better than the performance with 960 kHz</w:t>
      </w:r>
      <w:r w:rsidR="002D793F">
        <w:t xml:space="preserve"> + ECP in all cases, even </w:t>
      </w:r>
      <w:r w:rsidR="000B62D9">
        <w:t xml:space="preserve">for allowing lower data rates </w:t>
      </w:r>
      <w:r w:rsidR="007825F6">
        <w:t xml:space="preserve">carried by the </w:t>
      </w:r>
      <w:r w:rsidR="006E63CA">
        <w:t>ECP case</w:t>
      </w:r>
      <w:r w:rsidR="007825F6">
        <w:t>s</w:t>
      </w:r>
      <w:r w:rsidR="002A525F">
        <w:t xml:space="preserve">. </w:t>
      </w:r>
      <w:r w:rsidR="006F6157">
        <w:t xml:space="preserve">On an equal data rate basis, </w:t>
      </w:r>
      <w:r w:rsidR="00D41B52">
        <w:t xml:space="preserve">480 kHz </w:t>
      </w:r>
      <w:r w:rsidR="00C16F87">
        <w:t>+</w:t>
      </w:r>
      <w:r w:rsidR="00777911">
        <w:t xml:space="preserve"> NCP is </w:t>
      </w:r>
      <w:r w:rsidR="0084742F">
        <w:t xml:space="preserve">more than 6 dB better than 960 kHz </w:t>
      </w:r>
      <w:r w:rsidR="00C16F87">
        <w:t>+</w:t>
      </w:r>
      <w:r w:rsidR="00665EB7">
        <w:t xml:space="preserve"> </w:t>
      </w:r>
      <w:r w:rsidR="0084742F">
        <w:t>ECP</w:t>
      </w:r>
      <w:r w:rsidR="006F6157">
        <w:t xml:space="preserve">. </w:t>
      </w:r>
      <w:r w:rsidR="002A525F">
        <w:t>There</w:t>
      </w:r>
      <w:r w:rsidR="00B10AAA">
        <w:t xml:space="preserve">fore, there </w:t>
      </w:r>
      <w:r w:rsidR="001A3E29">
        <w:t>is</w:t>
      </w:r>
      <w:r w:rsidR="00B10AAA">
        <w:t xml:space="preserve"> no need to </w:t>
      </w:r>
      <w:r w:rsidR="002D793F">
        <w:t xml:space="preserve">support </w:t>
      </w:r>
      <w:r w:rsidR="00FD1CCB">
        <w:t>960</w:t>
      </w:r>
      <w:r w:rsidR="006D69B9">
        <w:t xml:space="preserve"> SCS in </w:t>
      </w:r>
      <w:r w:rsidR="009176C1">
        <w:t>conjunction</w:t>
      </w:r>
      <w:r w:rsidR="006D69B9">
        <w:t xml:space="preserve"> with </w:t>
      </w:r>
      <w:r w:rsidR="009176C1">
        <w:t>ECP</w:t>
      </w:r>
      <w:r w:rsidR="00B025A5">
        <w:t xml:space="preserve"> </w:t>
      </w:r>
      <w:r w:rsidR="000343C5">
        <w:t>for Rel-17 NR operation in 52.6 to 71 GHz</w:t>
      </w:r>
      <w:r w:rsidR="009176C1">
        <w:t>.</w:t>
      </w:r>
    </w:p>
    <w:p w14:paraId="260DBA80" w14:textId="77777777" w:rsidR="00B058DB" w:rsidRDefault="00B058DB" w:rsidP="00232EAE">
      <w:pPr>
        <w:pStyle w:val="BodyText"/>
      </w:pPr>
    </w:p>
    <w:p w14:paraId="57724B4C" w14:textId="1FA255F0" w:rsidR="00C54CF8" w:rsidRDefault="00C54CF8" w:rsidP="00C54CF8">
      <w:pPr>
        <w:pStyle w:val="Proposal"/>
      </w:pPr>
      <w:bookmarkStart w:id="146" w:name="_Toc53776193"/>
      <w:r>
        <w:t>Capture the following observation in TR 38.808:</w:t>
      </w:r>
      <w:r w:rsidR="006877C0">
        <w:t xml:space="preserve"> 960 kHz SCS ECP </w:t>
      </w:r>
      <w:r w:rsidR="007E685B">
        <w:t xml:space="preserve">MCS 22 </w:t>
      </w:r>
      <w:r w:rsidR="006877C0">
        <w:t xml:space="preserve">performs worse than </w:t>
      </w:r>
      <w:r w:rsidR="00682039">
        <w:t>480 kHz SCS NCP</w:t>
      </w:r>
      <w:r w:rsidR="00ED3164">
        <w:t xml:space="preserve"> </w:t>
      </w:r>
      <w:r w:rsidR="007E685B">
        <w:t xml:space="preserve">MCS 22 </w:t>
      </w:r>
      <w:r w:rsidR="00323D6B">
        <w:t>even for allowing lower data rates carried by ECP</w:t>
      </w:r>
      <w:r>
        <w:t>.</w:t>
      </w:r>
      <w:r w:rsidR="00323D6B">
        <w:t xml:space="preserve"> On an equal data rate basis, 480 kHz SCS NCP </w:t>
      </w:r>
      <w:r w:rsidR="003A0D41">
        <w:t xml:space="preserve">MCS 22 </w:t>
      </w:r>
      <w:r w:rsidR="00323D6B">
        <w:t xml:space="preserve">is more than 6 dB better than 960 kHz </w:t>
      </w:r>
      <w:r w:rsidR="00F87FBC">
        <w:t xml:space="preserve">SCS </w:t>
      </w:r>
      <w:r w:rsidR="00323D6B">
        <w:t>ECP</w:t>
      </w:r>
      <w:r w:rsidR="003A0D41">
        <w:t xml:space="preserve"> MCS 25</w:t>
      </w:r>
      <w:r w:rsidR="00323D6B">
        <w:t>.</w:t>
      </w:r>
      <w:bookmarkEnd w:id="146"/>
    </w:p>
    <w:p w14:paraId="66007C15" w14:textId="5AECB5CD" w:rsidR="00B058DB" w:rsidRPr="00EA0A41" w:rsidRDefault="00B058DB" w:rsidP="00B058DB">
      <w:pPr>
        <w:pStyle w:val="Proposal"/>
      </w:pPr>
      <w:bookmarkStart w:id="147" w:name="_Toc53776194"/>
      <w:r>
        <w:t xml:space="preserve">Extended CP </w:t>
      </w:r>
      <w:r w:rsidR="009C6ABE">
        <w:t>is</w:t>
      </w:r>
      <w:r>
        <w:t xml:space="preserve"> not </w:t>
      </w:r>
      <w:r w:rsidR="009C6ABE">
        <w:t xml:space="preserve">to </w:t>
      </w:r>
      <w:r w:rsidDel="00122770">
        <w:t xml:space="preserve">be considered </w:t>
      </w:r>
      <w:r w:rsidR="009C6ABE">
        <w:t xml:space="preserve">further </w:t>
      </w:r>
      <w:r w:rsidDel="00122770">
        <w:t>for</w:t>
      </w:r>
      <w:r>
        <w:t xml:space="preserve"> NR operation in 52.6 to 71 GHz.</w:t>
      </w:r>
      <w:bookmarkEnd w:id="147"/>
    </w:p>
    <w:p w14:paraId="7FA131CD" w14:textId="77777777" w:rsidR="00B058DB" w:rsidRDefault="00B058DB" w:rsidP="00232EAE">
      <w:pPr>
        <w:pStyle w:val="BodyText"/>
      </w:pPr>
    </w:p>
    <w:p w14:paraId="2CC03574" w14:textId="619342A3" w:rsidR="00B57DBE" w:rsidRDefault="00C16F87" w:rsidP="00B57DBE">
      <w:pPr>
        <w:pStyle w:val="BodyText"/>
        <w:keepNext/>
        <w:jc w:val="center"/>
      </w:pPr>
      <w:r>
        <w:rPr>
          <w:noProof/>
          <w:lang w:val="en-GB"/>
        </w:rPr>
        <w:lastRenderedPageBreak/>
        <mc:AlternateContent>
          <mc:Choice Requires="wps">
            <w:drawing>
              <wp:anchor distT="0" distB="0" distL="114300" distR="114300" simplePos="0" relativeHeight="251658243" behindDoc="0" locked="0" layoutInCell="1" allowOverlap="1" wp14:anchorId="7B2AB86B" wp14:editId="53C6C79A">
                <wp:simplePos x="0" y="0"/>
                <wp:positionH relativeFrom="column">
                  <wp:posOffset>3315142</wp:posOffset>
                </wp:positionH>
                <wp:positionV relativeFrom="paragraph">
                  <wp:posOffset>1295400</wp:posOffset>
                </wp:positionV>
                <wp:extent cx="671885" cy="326003"/>
                <wp:effectExtent l="0" t="0" r="0" b="0"/>
                <wp:wrapNone/>
                <wp:docPr id="1646987629" name="Text Box 1646987629"/>
                <wp:cNvGraphicFramePr/>
                <a:graphic xmlns:a="http://schemas.openxmlformats.org/drawingml/2006/main">
                  <a:graphicData uri="http://schemas.microsoft.com/office/word/2010/wordprocessingShape">
                    <wps:wsp>
                      <wps:cNvSpPr txBox="1"/>
                      <wps:spPr>
                        <a:xfrm>
                          <a:off x="0" y="0"/>
                          <a:ext cx="671885" cy="326003"/>
                        </a:xfrm>
                        <a:prstGeom prst="rect">
                          <a:avLst/>
                        </a:prstGeom>
                        <a:noFill/>
                        <a:ln w="6350">
                          <a:noFill/>
                        </a:ln>
                      </wps:spPr>
                      <wps:txbx>
                        <w:txbxContent>
                          <w:p w14:paraId="7661C556" w14:textId="6A13FD65" w:rsidR="00BE31F7" w:rsidRPr="004F69A1" w:rsidRDefault="00BE31F7" w:rsidP="004F69A1">
                            <w:pPr>
                              <w:jc w:val="center"/>
                              <w:rPr>
                                <w:b/>
                                <w:bCs/>
                                <w:color w:val="00B050"/>
                                <w:sz w:val="24"/>
                                <w:szCs w:val="24"/>
                              </w:rPr>
                            </w:pPr>
                            <w:r w:rsidRPr="004F69A1">
                              <w:rPr>
                                <w:b/>
                                <w:bCs/>
                                <w:color w:val="00B050"/>
                                <w:sz w:val="24"/>
                                <w:szCs w:val="24"/>
                              </w:rPr>
                              <w:t>&gt;6 dB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2AB86B" id="Text Box 1646987629" o:spid="_x0000_s1027" type="#_x0000_t202" style="position:absolute;left:0;text-align:left;margin-left:261.05pt;margin-top:102pt;width:52.9pt;height:25.6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" filled="f" stroked="f" strokeweight=".5pt">
                <v:textbox>
                  <w:txbxContent>
                    <w:p w14:paraId="7661C556" w14:textId="6A13FD65" w:rsidR="00BE31F7" w:rsidRPr="004F69A1" w:rsidRDefault="00BE31F7" w:rsidP="004F69A1">
                      <w:pPr>
                        <w:jc w:val="center"/>
                        <w:rPr>
                          <w:b/>
                          <w:bCs/>
                          <w:color w:val="00B050"/>
                          <w:sz w:val="24"/>
                          <w:szCs w:val="24"/>
                        </w:rPr>
                      </w:pPr>
                      <w:r w:rsidRPr="004F69A1">
                        <w:rPr>
                          <w:b/>
                          <w:bCs/>
                          <w:color w:val="00B050"/>
                          <w:sz w:val="24"/>
                          <w:szCs w:val="24"/>
                        </w:rPr>
                        <w:t>&gt;6 dB</w:t>
                      </w:r>
                    </w:p>
                  </w:txbxContent>
                </v:textbox>
              </v:shape>
            </w:pict>
          </mc:Fallback>
        </mc:AlternateContent>
      </w:r>
      <w:r>
        <w:rPr>
          <w:noProof/>
          <w:lang w:val="en-GB"/>
        </w:rPr>
        <mc:AlternateContent>
          <mc:Choice Requires="wps">
            <w:drawing>
              <wp:anchor distT="0" distB="0" distL="114300" distR="114300" simplePos="0" relativeHeight="251658242" behindDoc="0" locked="0" layoutInCell="1" allowOverlap="1" wp14:anchorId="7E299B26" wp14:editId="0C39A639">
                <wp:simplePos x="0" y="0"/>
                <wp:positionH relativeFrom="column">
                  <wp:posOffset>2981241</wp:posOffset>
                </wp:positionH>
                <wp:positionV relativeFrom="paragraph">
                  <wp:posOffset>1323395</wp:posOffset>
                </wp:positionV>
                <wp:extent cx="1455089" cy="3976"/>
                <wp:effectExtent l="0" t="95250" r="0" b="129540"/>
                <wp:wrapNone/>
                <wp:docPr id="1646987628" name="Straight Arrow Connector 1646987628"/>
                <wp:cNvGraphicFramePr/>
                <a:graphic xmlns:a="http://schemas.openxmlformats.org/drawingml/2006/main">
                  <a:graphicData uri="http://schemas.microsoft.com/office/word/2010/wordprocessingShape">
                    <wps:wsp>
                      <wps:cNvCnPr/>
                      <wps:spPr>
                        <a:xfrm>
                          <a:off x="0" y="0"/>
                          <a:ext cx="1455089" cy="3976"/>
                        </a:xfrm>
                        <a:prstGeom prst="straightConnector1">
                          <a:avLst/>
                        </a:prstGeom>
                        <a:ln w="22225">
                          <a:solidFill>
                            <a:srgbClr val="00B050"/>
                          </a:solidFill>
                          <a:headEnd type="triangle" w="lg" len="lg"/>
                          <a:tailEnd type="triangle" w="lg" len="lg"/>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v:shapetype w14:anchorId="5BE1C89A" id="_x0000_t32" coordsize="21600,21600" o:spt="32" o:oned="t" path="m,l21600,21600e" filled="f">
                <v:path arrowok="t" fillok="f" o:connecttype="none"/>
                <o:lock v:ext="edit" shapetype="t"/>
              </v:shapetype>
              <v:shape id="Straight Arrow Connector 1646987628" o:spid="_x0000_s1026" type="#_x0000_t32" style="position:absolute;margin-left:234.75pt;margin-top:104.2pt;width:114.55pt;height:.3pt;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" strokecolor="#00b050" strokeweight="1.75pt">
                <v:stroke startarrow="block" startarrowwidth="wide" startarrowlength="long" endarrow="block" endarrowwidth="wide" endarrowlength="long" joinstyle="miter"/>
              </v:shape>
            </w:pict>
          </mc:Fallback>
        </mc:AlternateContent>
      </w:r>
      <w:r w:rsidR="7195E5DF">
        <w:rPr>
          <w:noProof/>
        </w:rPr>
        <w:drawing>
          <wp:inline distT="0" distB="0" distL="0" distR="0" wp14:anchorId="4E73327C" wp14:editId="08A513AD">
            <wp:extent cx="3657600" cy="27432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48">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20C923E5" w14:textId="48892001" w:rsidR="000D7599" w:rsidRPr="00B57DBE" w:rsidRDefault="00B57DBE" w:rsidP="00B57DBE">
      <w:pPr>
        <w:pStyle w:val="Caption"/>
        <w:jc w:val="both"/>
        <w:rPr>
          <w:rFonts w:asciiTheme="minorBidi" w:hAnsiTheme="minorBidi" w:cstheme="minorBidi"/>
          <w:lang w:val="en-GB"/>
        </w:rPr>
      </w:pPr>
      <w:bookmarkStart w:id="148" w:name="_Ref53437713"/>
      <w:r w:rsidRPr="00B57DBE">
        <w:rPr>
          <w:rFonts w:asciiTheme="minorBidi" w:hAnsiTheme="minorBidi" w:cstheme="minorBidi"/>
        </w:rPr>
        <w:t xml:space="preserve">Figure </w:t>
      </w:r>
      <w:r w:rsidRPr="00B57DBE">
        <w:rPr>
          <w:rFonts w:asciiTheme="minorBidi" w:hAnsiTheme="minorBidi" w:cstheme="minorBidi"/>
        </w:rPr>
        <w:fldChar w:fldCharType="begin"/>
      </w:r>
      <w:r w:rsidRPr="00B57DBE">
        <w:rPr>
          <w:rFonts w:asciiTheme="minorBidi" w:hAnsiTheme="minorBidi" w:cstheme="minorBidi"/>
        </w:rPr>
        <w:instrText xml:space="preserve"> SEQ Figure \* ARABIC </w:instrText>
      </w:r>
      <w:r w:rsidRPr="00B57DBE">
        <w:rPr>
          <w:rFonts w:asciiTheme="minorBidi" w:hAnsiTheme="minorBidi" w:cstheme="minorBidi"/>
        </w:rPr>
        <w:fldChar w:fldCharType="separate"/>
      </w:r>
      <w:r w:rsidR="00BE31F7">
        <w:rPr>
          <w:rFonts w:asciiTheme="minorBidi" w:hAnsiTheme="minorBidi" w:cstheme="minorBidi"/>
          <w:noProof/>
        </w:rPr>
        <w:t>26</w:t>
      </w:r>
      <w:r w:rsidRPr="00B57DBE">
        <w:rPr>
          <w:rFonts w:asciiTheme="minorBidi" w:hAnsiTheme="minorBidi" w:cstheme="minorBidi"/>
        </w:rPr>
        <w:fldChar w:fldCharType="end"/>
      </w:r>
      <w:bookmarkEnd w:id="148"/>
      <w:r w:rsidRPr="00B57DBE">
        <w:rPr>
          <w:rFonts w:asciiTheme="minorBidi" w:hAnsiTheme="minorBidi" w:cstheme="minorBidi"/>
        </w:rPr>
        <w:t xml:space="preserve">: </w:t>
      </w:r>
      <w:r w:rsidR="00C53C60">
        <w:rPr>
          <w:rFonts w:asciiTheme="minorBidi" w:hAnsiTheme="minorBidi" w:cstheme="minorBidi"/>
        </w:rPr>
        <w:t xml:space="preserve">Comparison of NCP and ECP </w:t>
      </w:r>
      <w:r w:rsidR="00C53C60" w:rsidRPr="00E171B2">
        <w:rPr>
          <w:rFonts w:asciiTheme="minorBidi" w:hAnsiTheme="minorBidi" w:cstheme="minorBidi"/>
        </w:rPr>
        <w:t>for 480 kHz</w:t>
      </w:r>
      <w:r w:rsidR="00C53C60">
        <w:rPr>
          <w:rFonts w:asciiTheme="minorBidi" w:hAnsiTheme="minorBidi" w:cstheme="minorBidi"/>
        </w:rPr>
        <w:t xml:space="preserve"> </w:t>
      </w:r>
      <w:r w:rsidR="00C53C60" w:rsidRPr="00E171B2">
        <w:rPr>
          <w:rFonts w:asciiTheme="minorBidi" w:hAnsiTheme="minorBidi" w:cstheme="minorBidi"/>
        </w:rPr>
        <w:t xml:space="preserve">and 960 SCSs </w:t>
      </w:r>
      <w:r w:rsidR="00C53C60">
        <w:rPr>
          <w:rFonts w:asciiTheme="minorBidi" w:hAnsiTheme="minorBidi" w:cstheme="minorBidi"/>
        </w:rPr>
        <w:t xml:space="preserve">for 1.6 GHz bandwidth </w:t>
      </w:r>
      <w:r w:rsidR="00C53C60" w:rsidRPr="00E171B2">
        <w:rPr>
          <w:rFonts w:asciiTheme="minorBidi" w:hAnsiTheme="minorBidi" w:cstheme="minorBidi"/>
        </w:rPr>
        <w:t xml:space="preserve">with Rel-15 PT-RS structure </w:t>
      </w:r>
      <w:r w:rsidR="00C53C60">
        <w:rPr>
          <w:rFonts w:asciiTheme="minorBidi" w:hAnsiTheme="minorBidi" w:cstheme="minorBidi"/>
        </w:rPr>
        <w:t>with PN model set 1 for TDL-A channel with 40 ns delay spread</w:t>
      </w:r>
      <w:r w:rsidRPr="00B57DBE">
        <w:rPr>
          <w:rFonts w:asciiTheme="minorBidi" w:hAnsiTheme="minorBidi" w:cstheme="minorBidi"/>
        </w:rPr>
        <w:t>.</w:t>
      </w:r>
    </w:p>
    <w:p w14:paraId="790BB50C" w14:textId="77777777" w:rsidR="00575861" w:rsidRDefault="00575861" w:rsidP="00AC5D15">
      <w:pPr>
        <w:pStyle w:val="Caption"/>
        <w:jc w:val="both"/>
      </w:pPr>
      <w:bookmarkStart w:id="149" w:name="_Toc48656832"/>
      <w:bookmarkStart w:id="150" w:name="_Toc48670593"/>
      <w:bookmarkEnd w:id="149"/>
      <w:bookmarkEnd w:id="150"/>
    </w:p>
    <w:p w14:paraId="1B976700" w14:textId="48FAE5F0" w:rsidR="00493D65" w:rsidRDefault="00493D65" w:rsidP="003C2819">
      <w:pPr>
        <w:pStyle w:val="Heading4"/>
      </w:pPr>
      <w:bookmarkStart w:id="151" w:name="_Toc46307396"/>
      <w:bookmarkStart w:id="152" w:name="_Toc47530174"/>
      <w:bookmarkStart w:id="153" w:name="_Toc53775898"/>
      <w:r>
        <w:t>3.</w:t>
      </w:r>
      <w:r w:rsidR="00A7546B">
        <w:t>3</w:t>
      </w:r>
      <w:r>
        <w:t>.</w:t>
      </w:r>
      <w:r w:rsidR="00781461">
        <w:t>3.</w:t>
      </w:r>
      <w:r w:rsidR="0024779D">
        <w:t>3</w:t>
      </w:r>
      <w:r>
        <w:tab/>
      </w:r>
      <w:bookmarkEnd w:id="151"/>
      <w:r w:rsidR="009F6EB4">
        <w:t>DFTS-OFDM</w:t>
      </w:r>
      <w:bookmarkEnd w:id="152"/>
      <w:bookmarkEnd w:id="153"/>
    </w:p>
    <w:p w14:paraId="2C96430F" w14:textId="1484844E" w:rsidR="00493D65" w:rsidRPr="00F94015" w:rsidRDefault="006A5B67" w:rsidP="00F94015">
      <w:pPr>
        <w:pStyle w:val="BodyText"/>
        <w:rPr>
          <w:b/>
        </w:rPr>
      </w:pPr>
      <w:r w:rsidRPr="006A174C">
        <w:t xml:space="preserve">For DFT-s-OFDM, </w:t>
      </w:r>
      <w:r w:rsidRPr="00CF633A">
        <w:t xml:space="preserve">PTRS samples are mapped before </w:t>
      </w:r>
      <w:r w:rsidRPr="00A31CA8">
        <w:t>t</w:t>
      </w:r>
      <w:r w:rsidRPr="009840FD">
        <w:t xml:space="preserve">he DFT operation (subsampled time domain) which enable full phase noise </w:t>
      </w:r>
      <w:r w:rsidRPr="007141FA">
        <w:t>estimation and compensation</w:t>
      </w:r>
      <w:r w:rsidRPr="008E2840">
        <w:t xml:space="preserve"> using interpol</w:t>
      </w:r>
      <w:r w:rsidRPr="00DF7927">
        <w:t>ation in time domain</w:t>
      </w:r>
      <w:r w:rsidRPr="00FF7146">
        <w:t>. For DFT-s-</w:t>
      </w:r>
      <w:r w:rsidRPr="00912D7A">
        <w:t xml:space="preserve">OFDM </w:t>
      </w:r>
      <w:r w:rsidR="00BA7D84" w:rsidRPr="00912D7A">
        <w:t>evaluation</w:t>
      </w:r>
      <w:r w:rsidRPr="00912D7A">
        <w:t xml:space="preserve">, we consider PT-RS configuration with Ng = 8, Ns = 4, L = 1. Our </w:t>
      </w:r>
      <w:r w:rsidR="00BA7D84" w:rsidRPr="00912D7A">
        <w:t>results</w:t>
      </w:r>
      <w:r w:rsidRPr="00912D7A">
        <w:t xml:space="preserve"> </w:t>
      </w:r>
      <w:r w:rsidR="00BA7D84" w:rsidRPr="00912D7A">
        <w:t>demonstrate</w:t>
      </w:r>
      <w:r w:rsidRPr="00912D7A">
        <w:t xml:space="preserve"> that </w:t>
      </w:r>
      <w:r w:rsidR="0002212C" w:rsidRPr="00912D7A">
        <w:t>the Rel-15 PTRS design</w:t>
      </w:r>
      <w:r w:rsidRPr="00912D7A">
        <w:t xml:space="preserve"> address phase noise issues </w:t>
      </w:r>
      <w:r w:rsidR="00204F50">
        <w:t xml:space="preserve">for </w:t>
      </w:r>
      <w:r w:rsidR="00F804E7">
        <w:t xml:space="preserve">all considered </w:t>
      </w:r>
      <w:r w:rsidR="00204F50">
        <w:t>sub-carrier spacing</w:t>
      </w:r>
      <w:r w:rsidR="00F804E7">
        <w:t>s</w:t>
      </w:r>
      <w:r w:rsidR="00204F50">
        <w:t xml:space="preserve"> </w:t>
      </w:r>
      <w:r w:rsidRPr="00AC5741">
        <w:t>i</w:t>
      </w:r>
      <w:r w:rsidRPr="00CF633A">
        <w:t>n the 52.6 – 71 GHz f</w:t>
      </w:r>
      <w:r w:rsidRPr="00A31CA8">
        <w:t>requency range. Therefore, it is not necessary to drastica</w:t>
      </w:r>
      <w:r w:rsidRPr="009840FD">
        <w:t>ll</w:t>
      </w:r>
      <w:r w:rsidRPr="00806CCE">
        <w:t>y</w:t>
      </w:r>
      <w:r w:rsidRPr="00876E8A">
        <w:t xml:space="preserve"> increase the SCS e.g., to 960 kHz, for the purposes of combating</w:t>
      </w:r>
      <w:r w:rsidR="00696EEB">
        <w:t xml:space="preserve"> phase noise</w:t>
      </w:r>
      <w:r w:rsidRPr="00AC5741">
        <w:t>.</w:t>
      </w:r>
    </w:p>
    <w:p w14:paraId="76EFB29D" w14:textId="77777777" w:rsidR="00FE0FC1" w:rsidRPr="00F94015" w:rsidRDefault="00FE0FC1" w:rsidP="00F94015">
      <w:pPr>
        <w:pStyle w:val="BodyText"/>
        <w:rPr>
          <w:b/>
        </w:rPr>
      </w:pPr>
    </w:p>
    <w:p w14:paraId="067E3AB0" w14:textId="004C682B" w:rsidR="0002212C" w:rsidRDefault="00D640CB" w:rsidP="004F69A1">
      <w:pPr>
        <w:pStyle w:val="Proposal"/>
      </w:pPr>
      <w:bookmarkStart w:id="154" w:name="_Toc53776195"/>
      <w:r>
        <w:t xml:space="preserve">Capture the following observation in TR 38.808: </w:t>
      </w:r>
      <w:r w:rsidR="0002212C">
        <w:t>Phase noise induced performance issues for the DFT-s-OFDM waveform in the 52.6 – 71 GHz frequency range can be addressed with the Rel-15 uplink PTRS structure and currently supported SCS values, e.g., 120 kHz.</w:t>
      </w:r>
      <w:bookmarkEnd w:id="154"/>
    </w:p>
    <w:p w14:paraId="6751159B" w14:textId="77777777" w:rsidR="00A5537F" w:rsidRPr="006A174C" w:rsidRDefault="00A5537F" w:rsidP="00F94015">
      <w:pPr>
        <w:pStyle w:val="BodyText"/>
      </w:pPr>
    </w:p>
    <w:p w14:paraId="2A7444D6" w14:textId="59D65379" w:rsidR="00852E4A" w:rsidRDefault="7B7BE4F2" w:rsidP="00F94015">
      <w:pPr>
        <w:pStyle w:val="BodyText"/>
      </w:pPr>
      <w:r>
        <w:t xml:space="preserve"> </w:t>
      </w:r>
      <w:r w:rsidR="00AC771A">
        <w:rPr>
          <w:noProof/>
        </w:rPr>
        <w:drawing>
          <wp:inline distT="0" distB="0" distL="0" distR="0" wp14:anchorId="76B9FDAB" wp14:editId="4F0C8E24">
            <wp:extent cx="3017520" cy="2263230"/>
            <wp:effectExtent l="0" t="0" r="0" b="3810"/>
            <wp:docPr id="1796966684" name="Picture 1796966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84"/>
                    <pic:cNvPicPr/>
                  </pic:nvPicPr>
                  <pic:blipFill>
                    <a:blip r:embed="rId49">
                      <a:extLst>
                        <a:ext uri="{28A0092B-C50C-407E-A947-70E740481C1C}">
                          <a14:useLocalDpi xmlns:a14="http://schemas.microsoft.com/office/drawing/2010/main" val="0"/>
                        </a:ext>
                      </a:extLst>
                    </a:blip>
                    <a:stretch>
                      <a:fillRect/>
                    </a:stretch>
                  </pic:blipFill>
                  <pic:spPr>
                    <a:xfrm>
                      <a:off x="0" y="0"/>
                      <a:ext cx="3017520" cy="2263230"/>
                    </a:xfrm>
                    <a:prstGeom prst="rect">
                      <a:avLst/>
                    </a:prstGeom>
                  </pic:spPr>
                </pic:pic>
              </a:graphicData>
            </a:graphic>
          </wp:inline>
        </w:drawing>
      </w:r>
      <w:r w:rsidR="00AC771A">
        <w:rPr>
          <w:noProof/>
        </w:rPr>
        <w:t xml:space="preserve"> </w:t>
      </w:r>
      <w:r w:rsidR="00AC771A">
        <w:rPr>
          <w:noProof/>
        </w:rPr>
        <w:drawing>
          <wp:inline distT="0" distB="0" distL="0" distR="0" wp14:anchorId="0E4D40EC" wp14:editId="2CB0C1CF">
            <wp:extent cx="3017520" cy="2242142"/>
            <wp:effectExtent l="0" t="0" r="0" b="6350"/>
            <wp:docPr id="1796966683" name="Picture 1796966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966683"/>
                    <pic:cNvPicPr/>
                  </pic:nvPicPr>
                  <pic:blipFill>
                    <a:blip r:embed="rId50">
                      <a:extLst>
                        <a:ext uri="{28A0092B-C50C-407E-A947-70E740481C1C}">
                          <a14:useLocalDpi xmlns:a14="http://schemas.microsoft.com/office/drawing/2010/main" val="0"/>
                        </a:ext>
                      </a:extLst>
                    </a:blip>
                    <a:stretch>
                      <a:fillRect/>
                    </a:stretch>
                  </pic:blipFill>
                  <pic:spPr>
                    <a:xfrm>
                      <a:off x="0" y="0"/>
                      <a:ext cx="3017520" cy="2242142"/>
                    </a:xfrm>
                    <a:prstGeom prst="rect">
                      <a:avLst/>
                    </a:prstGeom>
                  </pic:spPr>
                </pic:pic>
              </a:graphicData>
            </a:graphic>
          </wp:inline>
        </w:drawing>
      </w:r>
    </w:p>
    <w:p w14:paraId="49818D4C" w14:textId="15487A35" w:rsidR="00852E4A" w:rsidRPr="00FE0FC1" w:rsidRDefault="00852E4A" w:rsidP="00E12344">
      <w:pPr>
        <w:pStyle w:val="Caption"/>
        <w:jc w:val="both"/>
        <w:rPr>
          <w:rFonts w:ascii="Arial" w:hAnsi="Arial" w:cs="Arial"/>
        </w:rPr>
      </w:pPr>
      <w:r w:rsidRPr="00FE0FC1">
        <w:rPr>
          <w:rFonts w:ascii="Arial" w:hAnsi="Arial" w:cs="Arial"/>
        </w:rPr>
        <w:t xml:space="preserve">Figure </w:t>
      </w:r>
      <w:r w:rsidRPr="00FE0FC1">
        <w:rPr>
          <w:rFonts w:ascii="Arial" w:hAnsi="Arial" w:cs="Arial"/>
        </w:rPr>
        <w:fldChar w:fldCharType="begin"/>
      </w:r>
      <w:r w:rsidRPr="00FE0FC1">
        <w:rPr>
          <w:rFonts w:ascii="Arial" w:hAnsi="Arial" w:cs="Arial"/>
        </w:rPr>
        <w:instrText xml:space="preserve"> SEQ Figure \* ARABIC </w:instrText>
      </w:r>
      <w:r w:rsidRPr="00FE0FC1">
        <w:rPr>
          <w:rFonts w:ascii="Arial" w:hAnsi="Arial" w:cs="Arial"/>
        </w:rPr>
        <w:fldChar w:fldCharType="separate"/>
      </w:r>
      <w:r w:rsidR="00BE31F7">
        <w:rPr>
          <w:rFonts w:ascii="Arial" w:hAnsi="Arial" w:cs="Arial"/>
          <w:noProof/>
        </w:rPr>
        <w:t>27</w:t>
      </w:r>
      <w:r w:rsidRPr="00FE0FC1">
        <w:rPr>
          <w:rFonts w:ascii="Arial" w:hAnsi="Arial" w:cs="Arial"/>
        </w:rPr>
        <w:fldChar w:fldCharType="end"/>
      </w:r>
      <w:r w:rsidRPr="00FE0FC1">
        <w:rPr>
          <w:rFonts w:ascii="Arial" w:hAnsi="Arial" w:cs="Arial"/>
        </w:rPr>
        <w:t>:</w:t>
      </w:r>
      <w:r w:rsidR="008A0AD2" w:rsidRPr="00FE0FC1">
        <w:rPr>
          <w:rFonts w:ascii="Arial" w:hAnsi="Arial" w:cs="Arial"/>
        </w:rPr>
        <w:t xml:space="preserve"> </w:t>
      </w:r>
      <w:r w:rsidRPr="00FE0FC1">
        <w:rPr>
          <w:rFonts w:ascii="Arial" w:hAnsi="Arial" w:cs="Arial"/>
        </w:rPr>
        <w:t>BLER for TDL-A with 5</w:t>
      </w:r>
      <w:r w:rsidR="00A61B51" w:rsidRPr="00FE0FC1">
        <w:rPr>
          <w:rFonts w:ascii="Arial" w:hAnsi="Arial" w:cs="Arial"/>
        </w:rPr>
        <w:t xml:space="preserve"> ns</w:t>
      </w:r>
      <w:r w:rsidRPr="00FE0FC1">
        <w:rPr>
          <w:rFonts w:ascii="Arial" w:hAnsi="Arial" w:cs="Arial"/>
        </w:rPr>
        <w:t xml:space="preserve"> </w:t>
      </w:r>
      <w:r w:rsidR="00F67B77">
        <w:rPr>
          <w:rFonts w:ascii="Arial" w:hAnsi="Arial" w:cs="Arial"/>
        </w:rPr>
        <w:t xml:space="preserve">(left) </w:t>
      </w:r>
      <w:r w:rsidRPr="00FE0FC1">
        <w:rPr>
          <w:rFonts w:ascii="Arial" w:hAnsi="Arial" w:cs="Arial"/>
        </w:rPr>
        <w:t>and 10 ns</w:t>
      </w:r>
      <w:r w:rsidR="00F67B77">
        <w:rPr>
          <w:rFonts w:ascii="Arial" w:hAnsi="Arial" w:cs="Arial"/>
        </w:rPr>
        <w:t xml:space="preserve"> (right). P</w:t>
      </w:r>
      <w:r w:rsidRPr="00FE0FC1">
        <w:rPr>
          <w:rFonts w:ascii="Arial" w:hAnsi="Arial" w:cs="Arial"/>
        </w:rPr>
        <w:t>erformance results for MCS 7, MCS 16, and MCS 22 are plotted with red, black, and blue curves, respectively.</w:t>
      </w:r>
    </w:p>
    <w:p w14:paraId="3FFAAA6F" w14:textId="1AAD271D" w:rsidR="00DA4FF0" w:rsidRDefault="00DA4FF0" w:rsidP="008A2C71">
      <w:pPr>
        <w:pStyle w:val="BodyText"/>
      </w:pPr>
    </w:p>
    <w:p w14:paraId="2CDEF94D" w14:textId="177CC6D5" w:rsidR="005C0997" w:rsidRDefault="005C0997" w:rsidP="005C0997">
      <w:pPr>
        <w:pStyle w:val="Heading2"/>
      </w:pPr>
      <w:bookmarkStart w:id="155" w:name="_Toc47530176"/>
      <w:bookmarkStart w:id="156" w:name="_Ref52790395"/>
      <w:bookmarkStart w:id="157" w:name="_Ref52790404"/>
      <w:bookmarkStart w:id="158" w:name="_Ref53592331"/>
      <w:bookmarkStart w:id="159" w:name="_Toc53775899"/>
      <w:r>
        <w:lastRenderedPageBreak/>
        <w:t>3.</w:t>
      </w:r>
      <w:r w:rsidR="00A7546B">
        <w:t>4</w:t>
      </w:r>
      <w:r>
        <w:tab/>
        <w:t>Frequency and timing estimation issues</w:t>
      </w:r>
      <w:bookmarkEnd w:id="155"/>
      <w:bookmarkEnd w:id="156"/>
      <w:bookmarkEnd w:id="157"/>
      <w:bookmarkEnd w:id="158"/>
      <w:bookmarkEnd w:id="159"/>
    </w:p>
    <w:p w14:paraId="425B599F" w14:textId="657E511F" w:rsidR="00B648EA" w:rsidRDefault="008F3BB5" w:rsidP="005C0997">
      <w:pPr>
        <w:pStyle w:val="BodyText"/>
      </w:pPr>
      <w:r>
        <w:rPr>
          <w:noProof/>
        </w:rPr>
        <mc:AlternateContent>
          <mc:Choice Requires="wps">
            <w:drawing>
              <wp:inline distT="0" distB="0" distL="0" distR="0" wp14:anchorId="48C2F766" wp14:editId="7A99E023">
                <wp:extent cx="6096000" cy="798830"/>
                <wp:effectExtent l="0" t="0" r="19050" b="20320"/>
                <wp:docPr id="12393409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798830"/>
                        </a:xfrm>
                        <a:prstGeom prst="rect">
                          <a:avLst/>
                        </a:prstGeom>
                        <a:solidFill>
                          <a:srgbClr val="FFFFFF"/>
                        </a:solidFill>
                        <a:ln w="9525">
                          <a:solidFill>
                            <a:srgbClr val="000000"/>
                          </a:solidFill>
                          <a:miter lim="800000"/>
                          <a:headEnd/>
                          <a:tailEnd/>
                        </a:ln>
                      </wps:spPr>
                      <wps:txbx>
                        <w:txbxContent>
                          <w:p w14:paraId="473A99FC" w14:textId="77777777" w:rsidR="00BE31F7" w:rsidRPr="00B648EA" w:rsidRDefault="00BE31F7" w:rsidP="008F3BB5">
                            <w:pPr>
                              <w:spacing w:after="0"/>
                              <w:rPr>
                                <w:lang w:eastAsia="en-US"/>
                              </w:rPr>
                            </w:pPr>
                            <w:r w:rsidRPr="00B648EA">
                              <w:rPr>
                                <w:rFonts w:ascii="Times" w:eastAsia="Batang" w:hAnsi="Times"/>
                                <w:color w:val="181818"/>
                                <w:spacing w:val="-6"/>
                                <w:kern w:val="20"/>
                                <w:highlight w:val="green"/>
                                <w:lang w:eastAsia="en-US"/>
                              </w:rPr>
                              <w:t>Agreement</w:t>
                            </w:r>
                            <w:r w:rsidRPr="00B648EA">
                              <w:rPr>
                                <w:rFonts w:ascii="Times" w:eastAsia="Batang" w:hAnsi="Times"/>
                                <w:color w:val="181818"/>
                                <w:spacing w:val="-6"/>
                                <w:kern w:val="20"/>
                                <w:lang w:eastAsia="en-US"/>
                              </w:rPr>
                              <w:t>:</w:t>
                            </w:r>
                          </w:p>
                          <w:p w14:paraId="2E322A38" w14:textId="77777777" w:rsidR="00BE31F7" w:rsidRPr="00B648EA" w:rsidRDefault="00BE31F7" w:rsidP="008F3BB5">
                            <w:pPr>
                              <w:overflowPunct/>
                              <w:autoSpaceDE/>
                              <w:autoSpaceDN/>
                              <w:adjustRightInd/>
                              <w:spacing w:after="0"/>
                              <w:rPr>
                                <w:lang w:eastAsia="en-US"/>
                              </w:rPr>
                            </w:pPr>
                            <w:r w:rsidRPr="00B648EA">
                              <w:rPr>
                                <w:rFonts w:ascii="Times" w:eastAsia="Batang" w:hAnsi="Times"/>
                                <w:color w:val="181818"/>
                                <w:spacing w:val="-6"/>
                                <w:kern w:val="20"/>
                                <w:lang w:eastAsia="en-US"/>
                              </w:rPr>
                              <w:t>RAN1 at least considers the following aspects for determination of supported SSB subcarrier spacing</w:t>
                            </w:r>
                          </w:p>
                          <w:p w14:paraId="558A7FBB" w14:textId="77777777" w:rsidR="00BE31F7" w:rsidRPr="00B648EA" w:rsidRDefault="00BE31F7" w:rsidP="008F3BB5">
                            <w:pPr>
                              <w:numPr>
                                <w:ilvl w:val="0"/>
                                <w:numId w:val="39"/>
                              </w:numPr>
                              <w:tabs>
                                <w:tab w:val="clear" w:pos="720"/>
                                <w:tab w:val="num" w:pos="360"/>
                                <w:tab w:val="num" w:pos="1080"/>
                              </w:tabs>
                              <w:overflowPunct/>
                              <w:autoSpaceDE/>
                              <w:autoSpaceDN/>
                              <w:adjustRightInd/>
                              <w:spacing w:after="0" w:line="259" w:lineRule="auto"/>
                              <w:ind w:left="1080"/>
                              <w:contextualSpacing/>
                              <w:textAlignment w:val="auto"/>
                              <w:rPr>
                                <w:color w:val="181818"/>
                                <w:lang w:eastAsia="en-US"/>
                              </w:rPr>
                            </w:pPr>
                            <w:r w:rsidRPr="00B648EA">
                              <w:rPr>
                                <w:rFonts w:ascii="Times" w:eastAsia="Batang" w:hAnsi="Times"/>
                                <w:color w:val="181818"/>
                                <w:spacing w:val="-6"/>
                                <w:kern w:val="20"/>
                                <w:lang w:eastAsia="en-US"/>
                              </w:rPr>
                              <w:t>Detection performance of SSB (including PSS, SSS, PBCH DMRS, and PBCH) and SSB coverage requirement</w:t>
                            </w:r>
                          </w:p>
                          <w:p w14:paraId="3D531D86" w14:textId="77777777" w:rsidR="00BE31F7" w:rsidRPr="00B648EA" w:rsidRDefault="00BE31F7" w:rsidP="008F3BB5">
                            <w:pPr>
                              <w:numPr>
                                <w:ilvl w:val="0"/>
                                <w:numId w:val="39"/>
                              </w:numPr>
                              <w:tabs>
                                <w:tab w:val="num" w:pos="1080"/>
                              </w:tabs>
                              <w:overflowPunct/>
                              <w:autoSpaceDE/>
                              <w:autoSpaceDN/>
                              <w:adjustRightInd/>
                              <w:spacing w:after="0" w:line="259" w:lineRule="auto"/>
                              <w:ind w:left="1080"/>
                              <w:contextualSpacing/>
                              <w:textAlignment w:val="auto"/>
                              <w:rPr>
                                <w:color w:val="181818"/>
                                <w:highlight w:val="yellow"/>
                                <w:lang w:eastAsia="en-US"/>
                              </w:rPr>
                            </w:pPr>
                            <w:r w:rsidRPr="00B648EA">
                              <w:rPr>
                                <w:rFonts w:ascii="Times" w:eastAsia="Batang" w:hAnsi="Times"/>
                                <w:color w:val="181818"/>
                                <w:spacing w:val="-6"/>
                                <w:kern w:val="20"/>
                                <w:highlight w:val="yellow"/>
                                <w:lang w:eastAsia="en-US"/>
                              </w:rPr>
                              <w:t xml:space="preserve">Impact on initial cell search complexity due to frequency errors (e.g. carrier frequency offset, Doppler shift, </w:t>
                            </w:r>
                            <w:proofErr w:type="spellStart"/>
                            <w:r w:rsidRPr="00B648EA">
                              <w:rPr>
                                <w:rFonts w:ascii="Times" w:eastAsia="Batang" w:hAnsi="Times"/>
                                <w:color w:val="181818"/>
                                <w:spacing w:val="-6"/>
                                <w:kern w:val="20"/>
                                <w:highlight w:val="yellow"/>
                                <w:lang w:eastAsia="en-US"/>
                              </w:rPr>
                              <w:t>etc</w:t>
                            </w:r>
                            <w:proofErr w:type="spellEnd"/>
                            <w:r w:rsidRPr="00B648EA">
                              <w:rPr>
                                <w:rFonts w:ascii="Times" w:eastAsia="Batang" w:hAnsi="Times"/>
                                <w:color w:val="181818"/>
                                <w:spacing w:val="-6"/>
                                <w:kern w:val="20"/>
                                <w:highlight w:val="yellow"/>
                                <w:lang w:eastAsia="en-US"/>
                              </w:rPr>
                              <w:t>)</w:t>
                            </w:r>
                          </w:p>
                          <w:p w14:paraId="38A0696F" w14:textId="77777777" w:rsidR="00BE31F7" w:rsidRPr="00B648EA" w:rsidRDefault="00BE31F7" w:rsidP="008F3BB5">
                            <w:pPr>
                              <w:numPr>
                                <w:ilvl w:val="0"/>
                                <w:numId w:val="39"/>
                              </w:numPr>
                              <w:tabs>
                                <w:tab w:val="num" w:pos="1080"/>
                              </w:tabs>
                              <w:overflowPunct/>
                              <w:autoSpaceDE/>
                              <w:autoSpaceDN/>
                              <w:adjustRightInd/>
                              <w:spacing w:after="0" w:line="259" w:lineRule="auto"/>
                              <w:ind w:left="1080"/>
                              <w:contextualSpacing/>
                              <w:textAlignment w:val="auto"/>
                              <w:rPr>
                                <w:color w:val="181818"/>
                                <w:highlight w:val="yellow"/>
                                <w:lang w:eastAsia="en-US"/>
                              </w:rPr>
                            </w:pPr>
                            <w:r w:rsidRPr="00B648EA">
                              <w:rPr>
                                <w:rFonts w:ascii="Times" w:eastAsia="Batang" w:hAnsi="Times"/>
                                <w:color w:val="181818"/>
                                <w:spacing w:val="-6"/>
                                <w:kern w:val="20"/>
                                <w:highlight w:val="yellow"/>
                                <w:lang w:eastAsia="en-US"/>
                              </w:rPr>
                              <w:t>Timing detection accuracy and its relation to uplink transmission accuracy</w:t>
                            </w:r>
                          </w:p>
                          <w:p w14:paraId="7CF9934C" w14:textId="77777777" w:rsidR="00BE31F7" w:rsidRPr="00B648EA" w:rsidRDefault="00BE31F7" w:rsidP="008F3BB5">
                            <w:pPr>
                              <w:numPr>
                                <w:ilvl w:val="0"/>
                                <w:numId w:val="39"/>
                              </w:numPr>
                              <w:tabs>
                                <w:tab w:val="num" w:pos="1080"/>
                              </w:tabs>
                              <w:overflowPunct/>
                              <w:autoSpaceDE/>
                              <w:autoSpaceDN/>
                              <w:adjustRightInd/>
                              <w:spacing w:after="0" w:line="259" w:lineRule="auto"/>
                              <w:ind w:left="1080"/>
                              <w:contextualSpacing/>
                              <w:textAlignment w:val="auto"/>
                              <w:rPr>
                                <w:color w:val="181818"/>
                                <w:lang w:eastAsia="en-US"/>
                              </w:rPr>
                            </w:pPr>
                            <w:r w:rsidRPr="00B648EA">
                              <w:rPr>
                                <w:rFonts w:ascii="Times" w:eastAsia="Batang" w:hAnsi="Times"/>
                                <w:color w:val="181818"/>
                                <w:spacing w:val="-6"/>
                                <w:kern w:val="20"/>
                                <w:lang w:eastAsia="en-US"/>
                              </w:rPr>
                              <w:t>Signaling design for supporting different subcarrier spacing for SSB and CORESET#0 (if supported)</w:t>
                            </w:r>
                          </w:p>
                          <w:p w14:paraId="0D94D1DC" w14:textId="77777777" w:rsidR="00BE31F7" w:rsidRPr="00A16D15" w:rsidRDefault="00BE31F7" w:rsidP="008F3BB5">
                            <w:pPr>
                              <w:numPr>
                                <w:ilvl w:val="0"/>
                                <w:numId w:val="39"/>
                              </w:numPr>
                              <w:tabs>
                                <w:tab w:val="num" w:pos="1080"/>
                              </w:tabs>
                              <w:overflowPunct/>
                              <w:autoSpaceDE/>
                              <w:autoSpaceDN/>
                              <w:adjustRightInd/>
                              <w:spacing w:after="0" w:line="259" w:lineRule="auto"/>
                              <w:ind w:left="1080"/>
                              <w:contextualSpacing/>
                              <w:textAlignment w:val="auto"/>
                              <w:rPr>
                                <w:color w:val="181818"/>
                                <w:highlight w:val="yellow"/>
                                <w:lang w:eastAsia="en-US"/>
                              </w:rPr>
                            </w:pPr>
                            <w:r w:rsidRPr="00A16D15">
                              <w:rPr>
                                <w:rFonts w:ascii="Times" w:eastAsia="Batang" w:hAnsi="Times"/>
                                <w:color w:val="181818"/>
                                <w:spacing w:val="-6"/>
                                <w:kern w:val="20"/>
                                <w:highlight w:val="yellow"/>
                                <w:lang w:eastAsia="en-US"/>
                              </w:rPr>
                              <w:t>Multi-TRP delay considerations</w:t>
                            </w:r>
                          </w:p>
                          <w:p w14:paraId="21439328" w14:textId="77777777" w:rsidR="00BE31F7" w:rsidRPr="00B648EA" w:rsidRDefault="00BE31F7" w:rsidP="008F3BB5">
                            <w:pPr>
                              <w:numPr>
                                <w:ilvl w:val="0"/>
                                <w:numId w:val="39"/>
                              </w:numPr>
                              <w:tabs>
                                <w:tab w:val="num" w:pos="1080"/>
                              </w:tabs>
                              <w:overflowPunct/>
                              <w:autoSpaceDE/>
                              <w:autoSpaceDN/>
                              <w:adjustRightInd/>
                              <w:spacing w:after="0" w:line="259" w:lineRule="auto"/>
                              <w:ind w:left="1080"/>
                              <w:contextualSpacing/>
                              <w:textAlignment w:val="auto"/>
                              <w:rPr>
                                <w:color w:val="181818"/>
                                <w:lang w:eastAsia="en-US"/>
                              </w:rPr>
                            </w:pPr>
                            <w:r w:rsidRPr="00B648EA">
                              <w:rPr>
                                <w:rFonts w:ascii="Times" w:eastAsia="Batang" w:hAnsi="Times"/>
                                <w:color w:val="181818"/>
                                <w:spacing w:val="-6"/>
                                <w:kern w:val="20"/>
                                <w:lang w:eastAsia="en-US"/>
                              </w:rPr>
                              <w:t>Consideration of SSB-based RRM/RLM and beam management if the SSB SCS is significantly different from that of the active BWP (e.g., switching gap, scheduling constraint, etc.)</w:t>
                            </w:r>
                          </w:p>
                        </w:txbxContent>
                      </wps:txbx>
                      <wps:bodyPr rot="0" vert="horz" wrap="square" lIns="91440" tIns="45720" rIns="91440" bIns="45720" anchor="t" anchorCtr="0">
                        <a:spAutoFit/>
                      </wps:bodyPr>
                    </wps:wsp>
                  </a:graphicData>
                </a:graphic>
              </wp:inline>
            </w:drawing>
          </mc:Choice>
          <mc:Fallback>
            <w:pict>
              <v:shape w14:anchorId="48C2F766" id="_x0000_s1028" type="#_x0000_t202" style="width:480pt;height:6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">
                <v:textbox style="mso-fit-shape-to-text:t">
                  <w:txbxContent>
                    <w:p w14:paraId="473A99FC" w14:textId="77777777" w:rsidR="00BE31F7" w:rsidRPr="00B648EA" w:rsidRDefault="00BE31F7" w:rsidP="008F3BB5">
                      <w:pPr>
                        <w:spacing w:after="0"/>
                        <w:rPr>
                          <w:lang w:eastAsia="en-US"/>
                        </w:rPr>
                      </w:pPr>
                      <w:r w:rsidRPr="00B648EA">
                        <w:rPr>
                          <w:rFonts w:ascii="Times" w:eastAsia="Batang" w:hAnsi="Times"/>
                          <w:color w:val="181818"/>
                          <w:spacing w:val="-6"/>
                          <w:kern w:val="20"/>
                          <w:highlight w:val="green"/>
                          <w:lang w:eastAsia="en-US"/>
                        </w:rPr>
                        <w:t>Agreement</w:t>
                      </w:r>
                      <w:r w:rsidRPr="00B648EA">
                        <w:rPr>
                          <w:rFonts w:ascii="Times" w:eastAsia="Batang" w:hAnsi="Times"/>
                          <w:color w:val="181818"/>
                          <w:spacing w:val="-6"/>
                          <w:kern w:val="20"/>
                          <w:lang w:eastAsia="en-US"/>
                        </w:rPr>
                        <w:t>:</w:t>
                      </w:r>
                    </w:p>
                    <w:p w14:paraId="2E322A38" w14:textId="77777777" w:rsidR="00BE31F7" w:rsidRPr="00B648EA" w:rsidRDefault="00BE31F7" w:rsidP="008F3BB5">
                      <w:pPr>
                        <w:overflowPunct/>
                        <w:autoSpaceDE/>
                        <w:autoSpaceDN/>
                        <w:adjustRightInd/>
                        <w:spacing w:after="0"/>
                        <w:rPr>
                          <w:lang w:eastAsia="en-US"/>
                        </w:rPr>
                      </w:pPr>
                      <w:r w:rsidRPr="00B648EA">
                        <w:rPr>
                          <w:rFonts w:ascii="Times" w:eastAsia="Batang" w:hAnsi="Times"/>
                          <w:color w:val="181818"/>
                          <w:spacing w:val="-6"/>
                          <w:kern w:val="20"/>
                          <w:lang w:eastAsia="en-US"/>
                        </w:rPr>
                        <w:t>RAN1 at least considers the following aspects for determination of supported SSB subcarrier spacing</w:t>
                      </w:r>
                    </w:p>
                    <w:p w14:paraId="558A7FBB" w14:textId="77777777" w:rsidR="00BE31F7" w:rsidRPr="00B648EA" w:rsidRDefault="00BE31F7" w:rsidP="008F3BB5">
                      <w:pPr>
                        <w:numPr>
                          <w:ilvl w:val="0"/>
                          <w:numId w:val="39"/>
                        </w:numPr>
                        <w:tabs>
                          <w:tab w:val="clear" w:pos="720"/>
                          <w:tab w:val="num" w:pos="360"/>
                          <w:tab w:val="num" w:pos="1080"/>
                        </w:tabs>
                        <w:overflowPunct/>
                        <w:autoSpaceDE/>
                        <w:autoSpaceDN/>
                        <w:adjustRightInd/>
                        <w:spacing w:after="0" w:line="259" w:lineRule="auto"/>
                        <w:ind w:left="1080"/>
                        <w:contextualSpacing/>
                        <w:textAlignment w:val="auto"/>
                        <w:rPr>
                          <w:color w:val="181818"/>
                          <w:lang w:eastAsia="en-US"/>
                        </w:rPr>
                      </w:pPr>
                      <w:r w:rsidRPr="00B648EA">
                        <w:rPr>
                          <w:rFonts w:ascii="Times" w:eastAsia="Batang" w:hAnsi="Times"/>
                          <w:color w:val="181818"/>
                          <w:spacing w:val="-6"/>
                          <w:kern w:val="20"/>
                          <w:lang w:eastAsia="en-US"/>
                        </w:rPr>
                        <w:t>Detection performance of SSB (including PSS, SSS, PBCH DMRS, and PBCH) and SSB coverage requirement</w:t>
                      </w:r>
                    </w:p>
                    <w:p w14:paraId="3D531D86" w14:textId="77777777" w:rsidR="00BE31F7" w:rsidRPr="00B648EA" w:rsidRDefault="00BE31F7" w:rsidP="008F3BB5">
                      <w:pPr>
                        <w:numPr>
                          <w:ilvl w:val="0"/>
                          <w:numId w:val="39"/>
                        </w:numPr>
                        <w:tabs>
                          <w:tab w:val="num" w:pos="1080"/>
                        </w:tabs>
                        <w:overflowPunct/>
                        <w:autoSpaceDE/>
                        <w:autoSpaceDN/>
                        <w:adjustRightInd/>
                        <w:spacing w:after="0" w:line="259" w:lineRule="auto"/>
                        <w:ind w:left="1080"/>
                        <w:contextualSpacing/>
                        <w:textAlignment w:val="auto"/>
                        <w:rPr>
                          <w:color w:val="181818"/>
                          <w:highlight w:val="yellow"/>
                          <w:lang w:eastAsia="en-US"/>
                        </w:rPr>
                      </w:pPr>
                      <w:r w:rsidRPr="00B648EA">
                        <w:rPr>
                          <w:rFonts w:ascii="Times" w:eastAsia="Batang" w:hAnsi="Times"/>
                          <w:color w:val="181818"/>
                          <w:spacing w:val="-6"/>
                          <w:kern w:val="20"/>
                          <w:highlight w:val="yellow"/>
                          <w:lang w:eastAsia="en-US"/>
                        </w:rPr>
                        <w:t xml:space="preserve">Impact on initial cell search complexity due to frequency errors (e.g. carrier frequency offset, Doppler shift, </w:t>
                      </w:r>
                      <w:proofErr w:type="spellStart"/>
                      <w:r w:rsidRPr="00B648EA">
                        <w:rPr>
                          <w:rFonts w:ascii="Times" w:eastAsia="Batang" w:hAnsi="Times"/>
                          <w:color w:val="181818"/>
                          <w:spacing w:val="-6"/>
                          <w:kern w:val="20"/>
                          <w:highlight w:val="yellow"/>
                          <w:lang w:eastAsia="en-US"/>
                        </w:rPr>
                        <w:t>etc</w:t>
                      </w:r>
                      <w:proofErr w:type="spellEnd"/>
                      <w:r w:rsidRPr="00B648EA">
                        <w:rPr>
                          <w:rFonts w:ascii="Times" w:eastAsia="Batang" w:hAnsi="Times"/>
                          <w:color w:val="181818"/>
                          <w:spacing w:val="-6"/>
                          <w:kern w:val="20"/>
                          <w:highlight w:val="yellow"/>
                          <w:lang w:eastAsia="en-US"/>
                        </w:rPr>
                        <w:t>)</w:t>
                      </w:r>
                    </w:p>
                    <w:p w14:paraId="38A0696F" w14:textId="77777777" w:rsidR="00BE31F7" w:rsidRPr="00B648EA" w:rsidRDefault="00BE31F7" w:rsidP="008F3BB5">
                      <w:pPr>
                        <w:numPr>
                          <w:ilvl w:val="0"/>
                          <w:numId w:val="39"/>
                        </w:numPr>
                        <w:tabs>
                          <w:tab w:val="num" w:pos="1080"/>
                        </w:tabs>
                        <w:overflowPunct/>
                        <w:autoSpaceDE/>
                        <w:autoSpaceDN/>
                        <w:adjustRightInd/>
                        <w:spacing w:after="0" w:line="259" w:lineRule="auto"/>
                        <w:ind w:left="1080"/>
                        <w:contextualSpacing/>
                        <w:textAlignment w:val="auto"/>
                        <w:rPr>
                          <w:color w:val="181818"/>
                          <w:highlight w:val="yellow"/>
                          <w:lang w:eastAsia="en-US"/>
                        </w:rPr>
                      </w:pPr>
                      <w:r w:rsidRPr="00B648EA">
                        <w:rPr>
                          <w:rFonts w:ascii="Times" w:eastAsia="Batang" w:hAnsi="Times"/>
                          <w:color w:val="181818"/>
                          <w:spacing w:val="-6"/>
                          <w:kern w:val="20"/>
                          <w:highlight w:val="yellow"/>
                          <w:lang w:eastAsia="en-US"/>
                        </w:rPr>
                        <w:t>Timing detection accuracy and its relation to uplink transmission accuracy</w:t>
                      </w:r>
                    </w:p>
                    <w:p w14:paraId="7CF9934C" w14:textId="77777777" w:rsidR="00BE31F7" w:rsidRPr="00B648EA" w:rsidRDefault="00BE31F7" w:rsidP="008F3BB5">
                      <w:pPr>
                        <w:numPr>
                          <w:ilvl w:val="0"/>
                          <w:numId w:val="39"/>
                        </w:numPr>
                        <w:tabs>
                          <w:tab w:val="num" w:pos="1080"/>
                        </w:tabs>
                        <w:overflowPunct/>
                        <w:autoSpaceDE/>
                        <w:autoSpaceDN/>
                        <w:adjustRightInd/>
                        <w:spacing w:after="0" w:line="259" w:lineRule="auto"/>
                        <w:ind w:left="1080"/>
                        <w:contextualSpacing/>
                        <w:textAlignment w:val="auto"/>
                        <w:rPr>
                          <w:color w:val="181818"/>
                          <w:lang w:eastAsia="en-US"/>
                        </w:rPr>
                      </w:pPr>
                      <w:r w:rsidRPr="00B648EA">
                        <w:rPr>
                          <w:rFonts w:ascii="Times" w:eastAsia="Batang" w:hAnsi="Times"/>
                          <w:color w:val="181818"/>
                          <w:spacing w:val="-6"/>
                          <w:kern w:val="20"/>
                          <w:lang w:eastAsia="en-US"/>
                        </w:rPr>
                        <w:t>Signaling design for supporting different subcarrier spacing for SSB and CORESET#0 (if supported)</w:t>
                      </w:r>
                    </w:p>
                    <w:p w14:paraId="0D94D1DC" w14:textId="77777777" w:rsidR="00BE31F7" w:rsidRPr="00A16D15" w:rsidRDefault="00BE31F7" w:rsidP="008F3BB5">
                      <w:pPr>
                        <w:numPr>
                          <w:ilvl w:val="0"/>
                          <w:numId w:val="39"/>
                        </w:numPr>
                        <w:tabs>
                          <w:tab w:val="num" w:pos="1080"/>
                        </w:tabs>
                        <w:overflowPunct/>
                        <w:autoSpaceDE/>
                        <w:autoSpaceDN/>
                        <w:adjustRightInd/>
                        <w:spacing w:after="0" w:line="259" w:lineRule="auto"/>
                        <w:ind w:left="1080"/>
                        <w:contextualSpacing/>
                        <w:textAlignment w:val="auto"/>
                        <w:rPr>
                          <w:color w:val="181818"/>
                          <w:highlight w:val="yellow"/>
                          <w:lang w:eastAsia="en-US"/>
                        </w:rPr>
                      </w:pPr>
                      <w:r w:rsidRPr="00A16D15">
                        <w:rPr>
                          <w:rFonts w:ascii="Times" w:eastAsia="Batang" w:hAnsi="Times"/>
                          <w:color w:val="181818"/>
                          <w:spacing w:val="-6"/>
                          <w:kern w:val="20"/>
                          <w:highlight w:val="yellow"/>
                          <w:lang w:eastAsia="en-US"/>
                        </w:rPr>
                        <w:t>Multi-TRP delay considerations</w:t>
                      </w:r>
                    </w:p>
                    <w:p w14:paraId="21439328" w14:textId="77777777" w:rsidR="00BE31F7" w:rsidRPr="00B648EA" w:rsidRDefault="00BE31F7" w:rsidP="008F3BB5">
                      <w:pPr>
                        <w:numPr>
                          <w:ilvl w:val="0"/>
                          <w:numId w:val="39"/>
                        </w:numPr>
                        <w:tabs>
                          <w:tab w:val="num" w:pos="1080"/>
                        </w:tabs>
                        <w:overflowPunct/>
                        <w:autoSpaceDE/>
                        <w:autoSpaceDN/>
                        <w:adjustRightInd/>
                        <w:spacing w:after="0" w:line="259" w:lineRule="auto"/>
                        <w:ind w:left="1080"/>
                        <w:contextualSpacing/>
                        <w:textAlignment w:val="auto"/>
                        <w:rPr>
                          <w:color w:val="181818"/>
                          <w:lang w:eastAsia="en-US"/>
                        </w:rPr>
                      </w:pPr>
                      <w:r w:rsidRPr="00B648EA">
                        <w:rPr>
                          <w:rFonts w:ascii="Times" w:eastAsia="Batang" w:hAnsi="Times"/>
                          <w:color w:val="181818"/>
                          <w:spacing w:val="-6"/>
                          <w:kern w:val="20"/>
                          <w:lang w:eastAsia="en-US"/>
                        </w:rPr>
                        <w:t>Consideration of SSB-based RRM/RLM and beam management if the SSB SCS is significantly different from that of the active BWP (e.g., switching gap, scheduling constraint, etc.)</w:t>
                      </w:r>
                    </w:p>
                  </w:txbxContent>
                </v:textbox>
                <w10:anchorlock/>
              </v:shape>
            </w:pict>
          </mc:Fallback>
        </mc:AlternateContent>
      </w:r>
    </w:p>
    <w:p w14:paraId="31419981" w14:textId="27F2BDDA" w:rsidR="005C0997" w:rsidRDefault="005C0997" w:rsidP="005C0997">
      <w:pPr>
        <w:pStyle w:val="BodyText"/>
      </w:pPr>
      <w:r>
        <w:t>In this section we discuss the effects and estimation of time and frequency errors and its implications on the choice of sub-carrier spacing.</w:t>
      </w:r>
      <w:r w:rsidR="00453C2B">
        <w:t xml:space="preserve"> </w:t>
      </w:r>
      <w:r>
        <w:t xml:space="preserve">Frequency errors have two effects on an OFDM waveform; a phase shift between symbols and mixing of subcarrier components of the received signal (ICI). Both these effects scale as </w:t>
      </w:r>
      <m:oMath>
        <m:r>
          <w:rPr>
            <w:rFonts w:ascii="Cambria Math" w:hAnsi="Cambria Math"/>
          </w:rPr>
          <m:t>∆f/SCS</m:t>
        </m:r>
      </m:oMath>
      <w:r>
        <w:t xml:space="preserve">, where </w:t>
      </w:r>
      <m:oMath>
        <m:r>
          <w:rPr>
            <w:rFonts w:ascii="Cambria Math" w:hAnsi="Cambria Math"/>
          </w:rPr>
          <m:t>∆f</m:t>
        </m:r>
      </m:oMath>
      <w:r>
        <w:t xml:space="preserve"> is the absolute frequency error and SCS is the subcarrier spacing. </w:t>
      </w:r>
    </w:p>
    <w:p w14:paraId="3CAAB1CC" w14:textId="266A0E7E" w:rsidR="005C0997" w:rsidRDefault="005C0997" w:rsidP="005C0997">
      <w:pPr>
        <w:pStyle w:val="BodyText"/>
      </w:pPr>
      <w:r>
        <w:t xml:space="preserve">Frequency errors are usually estimated by measuring the phase shift between symbols. Since the time difference between two symbols scales inversely with the SCS, the phase shift scales as </w:t>
      </w:r>
      <m:oMath>
        <m:r>
          <w:rPr>
            <w:rFonts w:ascii="Cambria Math" w:hAnsi="Cambria Math"/>
          </w:rPr>
          <m:t>∆f/SCS</m:t>
        </m:r>
      </m:oMath>
      <w:r>
        <w:t xml:space="preserve">. Due to the wrap around at </w:t>
      </w:r>
      <w:r>
        <w:rPr>
          <w:rFonts w:cs="Arial"/>
        </w:rPr>
        <w:t>±</w:t>
      </w:r>
      <w:r>
        <w:t xml:space="preserve">180 degrees, only frequency errors up to a certain maximum value can be estimated unambiguously, i.e. the estimator has maximum capture range that depends on </w:t>
      </w:r>
      <m:oMath>
        <m:r>
          <w:rPr>
            <w:rFonts w:ascii="Cambria Math" w:hAnsi="Cambria Math"/>
          </w:rPr>
          <m:t>∆f/SCS</m:t>
        </m:r>
      </m:oMath>
      <w:r>
        <w:t>. The accuracy of the estim</w:t>
      </w:r>
      <w:proofErr w:type="spellStart"/>
      <w:r w:rsidR="00453C2B">
        <w:t>a</w:t>
      </w:r>
      <w:r>
        <w:t>tor</w:t>
      </w:r>
      <w:proofErr w:type="spellEnd"/>
      <w:r>
        <w:t xml:space="preserve"> depends on the ratio of the phase shift between two symbols and the noise. Because the phase shift scales as  </w:t>
      </w:r>
      <m:oMath>
        <m:r>
          <w:rPr>
            <w:rFonts w:ascii="Cambria Math" w:hAnsi="Cambria Math"/>
          </w:rPr>
          <m:t>∆f/SCS</m:t>
        </m:r>
      </m:oMath>
      <w:r>
        <w:t xml:space="preserve">, so does the accuracy. In other words, for a fixed relative error </w:t>
      </w:r>
      <m:oMath>
        <m:r>
          <w:rPr>
            <w:rFonts w:ascii="Cambria Math" w:hAnsi="Cambria Math"/>
          </w:rPr>
          <m:t>∆f/SCS</m:t>
        </m:r>
      </m:oMath>
      <w:r>
        <w:t xml:space="preserve">  of x%, a system with a lower SCS tolerates a lower absolute frequency error </w:t>
      </w:r>
      <m:oMath>
        <m:r>
          <w:rPr>
            <w:rFonts w:ascii="Cambria Math" w:hAnsi="Cambria Math"/>
          </w:rPr>
          <m:t>∆f</m:t>
        </m:r>
      </m:oMath>
      <w:r>
        <w:t xml:space="preserve"> in Hz.</w:t>
      </w:r>
    </w:p>
    <w:p w14:paraId="34215FAF" w14:textId="110B25CE" w:rsidR="005B544D" w:rsidDel="00150F27" w:rsidRDefault="005B544D" w:rsidP="005C0997">
      <w:pPr>
        <w:pStyle w:val="BodyText"/>
      </w:pPr>
      <w:r>
        <w:t>As discussed above, a frequency estimator that is based on correlating two symbols has a limited capture range. For initial cell search</w:t>
      </w:r>
      <w:r w:rsidR="00AE47FA">
        <w:t>,</w:t>
      </w:r>
      <w:r>
        <w:t xml:space="preserve"> frequency errors of tens of ppm need to be handled. As a reference, the frequency error </w:t>
      </w:r>
      <w:r w:rsidR="00AE47FA">
        <w:t xml:space="preserve">for initial cell search </w:t>
      </w:r>
      <w:r>
        <w:t>in the simulation assumptions are 5,</w:t>
      </w:r>
      <w:r w:rsidR="00453C2B">
        <w:t xml:space="preserve"> </w:t>
      </w:r>
      <w:r>
        <w:t xml:space="preserve">10 and 20 ppm. Frequency errors of this magnitude exceed the capture range of estimators based on correlating two symbols. Instead one usually resorts to hypotheses testing with </w:t>
      </w:r>
      <w:proofErr w:type="gramStart"/>
      <w:r>
        <w:t>a number of</w:t>
      </w:r>
      <w:proofErr w:type="gramEnd"/>
      <w:r>
        <w:t xml:space="preserve"> frequency error hypothesis spanning the expected frequency error range. Typically, the hypothesis spacing is chosen as fraction of the subcarrier spacing, for example one hypothesis every  </w:t>
      </w:r>
      <m:oMath>
        <m:r>
          <w:rPr>
            <w:rFonts w:ascii="Cambria Math" w:hAnsi="Cambria Math"/>
          </w:rPr>
          <m:t>SCS/2</m:t>
        </m:r>
      </m:oMath>
      <w:r>
        <w:t xml:space="preserve">. The number of hypothesis will thus scale as </w:t>
      </w:r>
      <m:oMath>
        <m:r>
          <w:rPr>
            <w:rFonts w:ascii="Cambria Math" w:hAnsi="Cambria Math"/>
          </w:rPr>
          <m:t>∆f/SCS</m:t>
        </m:r>
      </m:oMath>
      <w:r>
        <w:t>.</w:t>
      </w:r>
    </w:p>
    <w:p w14:paraId="3A4BEDC3" w14:textId="77777777" w:rsidR="00B25F8F" w:rsidRDefault="00B25F8F" w:rsidP="005C0997">
      <w:pPr>
        <w:pStyle w:val="BodyText"/>
      </w:pPr>
    </w:p>
    <w:p w14:paraId="363E5871" w14:textId="7BA739C5" w:rsidR="00B25F8F" w:rsidRDefault="00B25F8F" w:rsidP="00B25F8F">
      <w:pPr>
        <w:pStyle w:val="Proposal"/>
      </w:pPr>
      <w:bookmarkStart w:id="160" w:name="_Toc53776196"/>
      <w:r>
        <w:t>Capture the following observation in TR 38.808: By proper choice of SSB SCS, the initial cell search complexity can be kept at the same level as for FR1 and FR2.</w:t>
      </w:r>
      <w:bookmarkEnd w:id="160"/>
      <w:r>
        <w:t xml:space="preserve"> </w:t>
      </w:r>
    </w:p>
    <w:p w14:paraId="2973F9FF" w14:textId="77777777" w:rsidR="00150F27" w:rsidRPr="0035235B" w:rsidRDefault="00150F27" w:rsidP="005C0997">
      <w:pPr>
        <w:pStyle w:val="BodyText"/>
        <w:rPr>
          <w:b/>
          <w:bCs/>
          <w:u w:val="single"/>
        </w:rPr>
      </w:pPr>
    </w:p>
    <w:p w14:paraId="7B73AC78" w14:textId="78D6A3AF" w:rsidR="005C0997" w:rsidRDefault="005C0997" w:rsidP="005C0997">
      <w:pPr>
        <w:pStyle w:val="BodyText"/>
      </w:pPr>
      <w:r>
        <w:t xml:space="preserve">Clearly, it is the ratio of the frequency error </w:t>
      </w:r>
      <m:oMath>
        <m:r>
          <w:rPr>
            <w:rFonts w:ascii="Cambria Math" w:hAnsi="Cambria Math"/>
          </w:rPr>
          <m:t>∆f</m:t>
        </m:r>
      </m:oMath>
      <w:r w:rsidDel="00122770">
        <w:t xml:space="preserve"> </w:t>
      </w:r>
      <w:r>
        <w:t>compared to the SCS that matters</w:t>
      </w:r>
      <w:r w:rsidR="009D0E23">
        <w:t xml:space="preserve"> for both ways of estimating frequency errors.</w:t>
      </w:r>
      <w:r>
        <w:t xml:space="preserve"> There are several sources of frequency errors, e.g. inter-</w:t>
      </w:r>
      <w:proofErr w:type="spellStart"/>
      <w:r>
        <w:t>gNB</w:t>
      </w:r>
      <w:proofErr w:type="spellEnd"/>
      <w:r>
        <w:t xml:space="preserve"> frequency accuracy, UE initial frequency accuracy, UE frequency drift and Doppler shift, all which scales with the carrier frequency. Thus, to keep the ratio </w:t>
      </w:r>
      <m:oMath>
        <m:r>
          <w:rPr>
            <w:rFonts w:ascii="Cambria Math" w:hAnsi="Cambria Math"/>
          </w:rPr>
          <m:t>∆f/SCS</m:t>
        </m:r>
      </m:oMath>
      <w:r>
        <w:t xml:space="preserve"> similar at different carrier frequencies, the SCS needs to scale accordingly. Keeping this in mind, we can compute the SCS at </w:t>
      </w:r>
      <w:r w:rsidR="00CA75F1">
        <w:t xml:space="preserve">71 </w:t>
      </w:r>
      <w:r>
        <w:t xml:space="preserve">GHz that would give the same ratio </w:t>
      </w:r>
      <m:oMath>
        <m:r>
          <w:rPr>
            <w:rFonts w:ascii="Cambria Math" w:hAnsi="Cambria Math"/>
          </w:rPr>
          <m:t>∆f/SCS</m:t>
        </m:r>
      </m:oMath>
      <w:r w:rsidR="00AE47FA">
        <w:t xml:space="preserve"> </w:t>
      </w:r>
      <w:r>
        <w:t xml:space="preserve">as for </w:t>
      </w:r>
      <w:r w:rsidR="00CA75F1">
        <w:t xml:space="preserve">the highest currently defined </w:t>
      </w:r>
      <w:r>
        <w:t xml:space="preserve">carrier frequency </w:t>
      </w:r>
      <w:r w:rsidR="00CA75F1">
        <w:t xml:space="preserve">in combination with the lowest </w:t>
      </w:r>
      <w:r w:rsidR="00EB50BF">
        <w:t xml:space="preserve">corresponding </w:t>
      </w:r>
      <w:r w:rsidR="00CA75F1">
        <w:t xml:space="preserve">defined </w:t>
      </w:r>
      <w:r>
        <w:t xml:space="preserve">SCS </w:t>
      </w:r>
      <w:r w:rsidR="002A16AA">
        <w:t>for each of FR1 and FR2</w:t>
      </w:r>
      <w:r>
        <w:t>.</w:t>
      </w:r>
    </w:p>
    <w:p w14:paraId="50E03A8A" w14:textId="0E727162" w:rsidR="00CA75F1" w:rsidRPr="00382E66" w:rsidRDefault="00CA75F1" w:rsidP="00CA75F1">
      <w:pPr>
        <w:pStyle w:val="TF"/>
        <w:keepLines w:val="0"/>
        <w:rPr>
          <w:b w:val="0"/>
          <w:bCs/>
          <w:lang w:val="en-US"/>
        </w:rPr>
      </w:pPr>
      <w:r w:rsidRPr="00F676BA">
        <w:rPr>
          <w:lang w:val="en-US"/>
        </w:rPr>
        <w:t xml:space="preserve">Figure </w:t>
      </w:r>
      <w:r>
        <w:rPr>
          <w:lang w:val="en-US"/>
        </w:rPr>
        <w:fldChar w:fldCharType="begin"/>
      </w:r>
      <w:r>
        <w:instrText xml:space="preserve"> SEQ Figure \* ARABIC </w:instrText>
      </w:r>
      <w:r>
        <w:rPr>
          <w:lang w:val="en-US"/>
        </w:rPr>
        <w:fldChar w:fldCharType="separate"/>
      </w:r>
      <w:r w:rsidR="00BE31F7">
        <w:rPr>
          <w:noProof/>
        </w:rPr>
        <w:t>28</w:t>
      </w:r>
      <w:r>
        <w:rPr>
          <w:lang w:val="en-US"/>
        </w:rPr>
        <w:fldChar w:fldCharType="end"/>
      </w:r>
      <w:r w:rsidRPr="00A14B11">
        <w:t>: SCS vs carrier frequency</w:t>
      </w:r>
      <w:r>
        <w:rPr>
          <w:lang w:val="en-US"/>
        </w:rPr>
        <w:t xml:space="preserve"> with same </w:t>
      </w:r>
      <m:oMath>
        <m:r>
          <m:rPr>
            <m:sty m:val="bi"/>
          </m:rPr>
          <w:rPr>
            <w:rFonts w:ascii="Cambria Math" w:hAnsi="Cambria Math"/>
          </w:rPr>
          <m:t>∆f/SCS</m:t>
        </m:r>
      </m:oMath>
    </w:p>
    <w:tbl>
      <w:tblPr>
        <w:tblStyle w:val="TableGrid"/>
        <w:tblW w:w="0" w:type="auto"/>
        <w:jc w:val="center"/>
        <w:tblLook w:val="04A0" w:firstRow="1" w:lastRow="0" w:firstColumn="1" w:lastColumn="0" w:noHBand="0" w:noVBand="1"/>
      </w:tblPr>
      <w:tblGrid>
        <w:gridCol w:w="1195"/>
        <w:gridCol w:w="1939"/>
        <w:gridCol w:w="1063"/>
        <w:gridCol w:w="1063"/>
        <w:gridCol w:w="2025"/>
      </w:tblGrid>
      <w:tr w:rsidR="00CA75F1" w:rsidRPr="003D63C4" w14:paraId="0751E257" w14:textId="77777777" w:rsidTr="00CA75F1">
        <w:trPr>
          <w:trHeight w:val="388"/>
          <w:jc w:val="center"/>
        </w:trPr>
        <w:tc>
          <w:tcPr>
            <w:tcW w:w="1195" w:type="dxa"/>
            <w:vAlign w:val="bottom"/>
          </w:tcPr>
          <w:p w14:paraId="45329A1F" w14:textId="77777777" w:rsidR="00CA75F1" w:rsidRPr="00E45641" w:rsidRDefault="00CA75F1" w:rsidP="00CA75F1">
            <w:pPr>
              <w:pStyle w:val="BodyText"/>
              <w:spacing w:before="40" w:after="40"/>
              <w:rPr>
                <w:rFonts w:eastAsiaTheme="minorEastAsia" w:cs="Arial"/>
                <w:b/>
                <w:color w:val="000000" w:themeColor="text1"/>
                <w:kern w:val="24"/>
              </w:rPr>
            </w:pPr>
            <w:r w:rsidRPr="00E45641">
              <w:rPr>
                <w:rFonts w:eastAsiaTheme="minorEastAsia" w:cs="Arial"/>
                <w:b/>
                <w:color w:val="000000" w:themeColor="text1"/>
                <w:kern w:val="24"/>
              </w:rPr>
              <w:t>SSB SCS</w:t>
            </w:r>
          </w:p>
        </w:tc>
        <w:tc>
          <w:tcPr>
            <w:tcW w:w="1939" w:type="dxa"/>
            <w:vAlign w:val="bottom"/>
          </w:tcPr>
          <w:p w14:paraId="414F76DF" w14:textId="7B84BACA" w:rsidR="00CA75F1" w:rsidRPr="003C2819" w:rsidRDefault="002A16AA" w:rsidP="00CA75F1">
            <w:pPr>
              <w:pStyle w:val="BodyText"/>
              <w:spacing w:before="40" w:after="40"/>
              <w:jc w:val="center"/>
              <w:rPr>
                <w:rFonts w:eastAsiaTheme="minorEastAsia" w:cs="Arial"/>
                <w:b/>
                <w:color w:val="000000" w:themeColor="text1"/>
                <w:kern w:val="24"/>
                <w:lang w:val="en-US"/>
              </w:rPr>
            </w:pPr>
            <w:r>
              <w:rPr>
                <w:rFonts w:eastAsiaTheme="minorEastAsia" w:cs="Arial"/>
                <w:b/>
                <w:color w:val="000000" w:themeColor="text1"/>
                <w:kern w:val="24"/>
              </w:rPr>
              <w:t xml:space="preserve">Upper Limit of </w:t>
            </w:r>
            <w:r w:rsidR="00CA75F1" w:rsidRPr="00E45641">
              <w:rPr>
                <w:rFonts w:eastAsiaTheme="minorEastAsia" w:cs="Arial"/>
                <w:b/>
                <w:color w:val="000000" w:themeColor="text1"/>
                <w:kern w:val="24"/>
              </w:rPr>
              <w:t>Carrier Frequency</w:t>
            </w:r>
            <w:r>
              <w:rPr>
                <w:rFonts w:eastAsiaTheme="minorEastAsia" w:cs="Arial"/>
                <w:b/>
                <w:color w:val="000000" w:themeColor="text1"/>
                <w:kern w:val="24"/>
              </w:rPr>
              <w:t xml:space="preserve"> for FR1 and FR2</w:t>
            </w:r>
          </w:p>
        </w:tc>
        <w:tc>
          <w:tcPr>
            <w:tcW w:w="1063" w:type="dxa"/>
            <w:vAlign w:val="bottom"/>
          </w:tcPr>
          <w:p w14:paraId="20901A29" w14:textId="77777777" w:rsidR="00CA75F1" w:rsidRPr="003C2819" w:rsidRDefault="00CA75F1" w:rsidP="00CA75F1">
            <w:pPr>
              <w:pStyle w:val="BodyText"/>
              <w:spacing w:before="40" w:after="40"/>
              <w:jc w:val="center"/>
              <w:rPr>
                <w:rFonts w:eastAsiaTheme="minorEastAsia" w:cs="Arial"/>
                <w:b/>
                <w:color w:val="000000" w:themeColor="text1"/>
                <w:kern w:val="24"/>
                <w:lang w:val="en-US"/>
              </w:rPr>
            </w:pPr>
          </w:p>
        </w:tc>
        <w:tc>
          <w:tcPr>
            <w:tcW w:w="1063" w:type="dxa"/>
            <w:vAlign w:val="bottom"/>
          </w:tcPr>
          <w:p w14:paraId="534865DE" w14:textId="77777777" w:rsidR="00CA75F1" w:rsidRPr="00E45641" w:rsidRDefault="00CA75F1" w:rsidP="00CA75F1">
            <w:pPr>
              <w:pStyle w:val="BodyText"/>
              <w:spacing w:before="40" w:after="40"/>
              <w:jc w:val="center"/>
              <w:rPr>
                <w:rFonts w:eastAsiaTheme="minorEastAsia" w:cs="Arial"/>
                <w:b/>
                <w:color w:val="000000" w:themeColor="text1"/>
                <w:kern w:val="24"/>
              </w:rPr>
            </w:pPr>
            <w:r w:rsidRPr="00E45641">
              <w:rPr>
                <w:rFonts w:eastAsiaTheme="minorEastAsia" w:cs="Arial"/>
                <w:b/>
                <w:color w:val="000000" w:themeColor="text1"/>
                <w:kern w:val="24"/>
              </w:rPr>
              <w:t>SCS</w:t>
            </w:r>
          </w:p>
        </w:tc>
        <w:tc>
          <w:tcPr>
            <w:tcW w:w="2025" w:type="dxa"/>
            <w:vAlign w:val="bottom"/>
          </w:tcPr>
          <w:p w14:paraId="1B78E0B9" w14:textId="77777777" w:rsidR="00CA75F1" w:rsidRPr="00E45641" w:rsidRDefault="00CA75F1" w:rsidP="00CA75F1">
            <w:pPr>
              <w:pStyle w:val="BodyText"/>
              <w:spacing w:before="40" w:after="40"/>
              <w:jc w:val="center"/>
              <w:rPr>
                <w:rFonts w:eastAsiaTheme="minorEastAsia" w:cs="Arial"/>
                <w:b/>
                <w:color w:val="000000" w:themeColor="text1"/>
                <w:kern w:val="24"/>
              </w:rPr>
            </w:pPr>
            <w:r w:rsidRPr="00E45641">
              <w:rPr>
                <w:rFonts w:eastAsiaTheme="minorEastAsia" w:cs="Arial"/>
                <w:b/>
                <w:color w:val="000000" w:themeColor="text1"/>
                <w:kern w:val="24"/>
              </w:rPr>
              <w:t>Carrier Frequency</w:t>
            </w:r>
          </w:p>
        </w:tc>
      </w:tr>
      <w:tr w:rsidR="00CA75F1" w:rsidRPr="003D63C4" w14:paraId="1D0EC262" w14:textId="77777777" w:rsidTr="00CA75F1">
        <w:trPr>
          <w:jc w:val="center"/>
        </w:trPr>
        <w:tc>
          <w:tcPr>
            <w:tcW w:w="1195" w:type="dxa"/>
            <w:vAlign w:val="bottom"/>
          </w:tcPr>
          <w:p w14:paraId="6B64E1DE" w14:textId="77777777" w:rsidR="00CA75F1" w:rsidRPr="00E45641" w:rsidRDefault="00CA75F1" w:rsidP="00CA75F1">
            <w:pPr>
              <w:pStyle w:val="BodyText"/>
              <w:spacing w:before="40" w:after="40"/>
              <w:jc w:val="center"/>
              <w:rPr>
                <w:rFonts w:eastAsiaTheme="minorEastAsia" w:cs="Arial"/>
                <w:color w:val="000000" w:themeColor="text1"/>
                <w:kern w:val="24"/>
              </w:rPr>
            </w:pPr>
            <w:r w:rsidRPr="00E45641">
              <w:rPr>
                <w:rFonts w:eastAsiaTheme="minorEastAsia" w:cs="Arial"/>
                <w:color w:val="000000" w:themeColor="text1"/>
                <w:kern w:val="24"/>
              </w:rPr>
              <w:t>15 kHz</w:t>
            </w:r>
          </w:p>
        </w:tc>
        <w:tc>
          <w:tcPr>
            <w:tcW w:w="1939" w:type="dxa"/>
          </w:tcPr>
          <w:p w14:paraId="1839FFAE" w14:textId="4854C423" w:rsidR="00CA75F1" w:rsidRPr="00E45641" w:rsidRDefault="000138A9" w:rsidP="00CA75F1">
            <w:pPr>
              <w:pStyle w:val="BodyText"/>
              <w:spacing w:before="40" w:after="40"/>
              <w:jc w:val="center"/>
            </w:pPr>
            <w:r>
              <w:t>7.1</w:t>
            </w:r>
            <w:r w:rsidR="00EB50BF">
              <w:t>25</w:t>
            </w:r>
            <w:r>
              <w:t xml:space="preserve"> </w:t>
            </w:r>
            <w:r w:rsidR="00CA75F1" w:rsidRPr="00E45641">
              <w:t>GHz</w:t>
            </w:r>
            <w:r w:rsidR="002A16AA">
              <w:t xml:space="preserve"> (FR1)</w:t>
            </w:r>
          </w:p>
        </w:tc>
        <w:tc>
          <w:tcPr>
            <w:tcW w:w="1063" w:type="dxa"/>
          </w:tcPr>
          <w:p w14:paraId="04127DC5" w14:textId="77777777" w:rsidR="00CA75F1" w:rsidRPr="00E45641" w:rsidRDefault="00CA75F1" w:rsidP="00CA75F1">
            <w:pPr>
              <w:pStyle w:val="BodyText"/>
              <w:spacing w:before="40" w:after="40"/>
              <w:jc w:val="center"/>
            </w:pPr>
            <w:r w:rsidRPr="00E45641">
              <w:rPr>
                <w:rFonts w:ascii="Wingdings" w:eastAsia="Wingdings" w:hAnsi="Wingdings" w:cs="Wingdings"/>
              </w:rPr>
              <w:t>ó</w:t>
            </w:r>
          </w:p>
        </w:tc>
        <w:tc>
          <w:tcPr>
            <w:tcW w:w="1063" w:type="dxa"/>
          </w:tcPr>
          <w:p w14:paraId="546FB3F3" w14:textId="698D7220" w:rsidR="00CA75F1" w:rsidRPr="00E45641" w:rsidRDefault="00CA75F1" w:rsidP="00CA75F1">
            <w:pPr>
              <w:pStyle w:val="BodyText"/>
              <w:spacing w:before="40" w:after="40"/>
              <w:jc w:val="center"/>
            </w:pPr>
            <w:r>
              <w:t>1</w:t>
            </w:r>
            <w:r w:rsidR="000138A9">
              <w:t>26</w:t>
            </w:r>
            <w:r w:rsidRPr="00E45641">
              <w:t xml:space="preserve"> kHz</w:t>
            </w:r>
          </w:p>
        </w:tc>
        <w:tc>
          <w:tcPr>
            <w:tcW w:w="2025" w:type="dxa"/>
          </w:tcPr>
          <w:p w14:paraId="5C5752C2" w14:textId="7B783340" w:rsidR="00CA75F1" w:rsidRPr="00E45641" w:rsidRDefault="00CA75F1" w:rsidP="00CA75F1">
            <w:pPr>
              <w:pStyle w:val="BodyText"/>
              <w:spacing w:before="40" w:after="40"/>
              <w:jc w:val="center"/>
            </w:pPr>
            <w:r>
              <w:t>71</w:t>
            </w:r>
            <w:r w:rsidRPr="00E45641">
              <w:t xml:space="preserve"> GHz</w:t>
            </w:r>
          </w:p>
        </w:tc>
      </w:tr>
      <w:tr w:rsidR="00CA75F1" w:rsidRPr="003D63C4" w14:paraId="6CFEFE1D" w14:textId="77777777" w:rsidTr="00CA75F1">
        <w:trPr>
          <w:jc w:val="center"/>
        </w:trPr>
        <w:tc>
          <w:tcPr>
            <w:tcW w:w="1195" w:type="dxa"/>
            <w:vAlign w:val="bottom"/>
          </w:tcPr>
          <w:p w14:paraId="201031E0" w14:textId="77777777" w:rsidR="00CA75F1" w:rsidRPr="00E45641" w:rsidRDefault="00CA75F1" w:rsidP="00CA75F1">
            <w:pPr>
              <w:pStyle w:val="BodyText"/>
              <w:spacing w:before="40" w:after="40"/>
              <w:jc w:val="center"/>
              <w:rPr>
                <w:rFonts w:eastAsiaTheme="minorEastAsia" w:cs="Arial"/>
                <w:color w:val="000000" w:themeColor="text1"/>
                <w:kern w:val="24"/>
              </w:rPr>
            </w:pPr>
            <w:r w:rsidRPr="00E45641">
              <w:rPr>
                <w:rFonts w:eastAsiaTheme="minorEastAsia" w:cs="Arial"/>
                <w:color w:val="000000" w:themeColor="text1"/>
                <w:kern w:val="24"/>
              </w:rPr>
              <w:t>120 kHz</w:t>
            </w:r>
          </w:p>
        </w:tc>
        <w:tc>
          <w:tcPr>
            <w:tcW w:w="1939" w:type="dxa"/>
          </w:tcPr>
          <w:p w14:paraId="28562230" w14:textId="241BB582" w:rsidR="00CA75F1" w:rsidRPr="00E45641" w:rsidRDefault="00CA75F1" w:rsidP="00CA75F1">
            <w:pPr>
              <w:pStyle w:val="BodyText"/>
              <w:spacing w:before="40" w:after="40"/>
              <w:jc w:val="center"/>
            </w:pPr>
            <w:r>
              <w:t>4</w:t>
            </w:r>
            <w:r w:rsidR="000138A9">
              <w:t>3.5</w:t>
            </w:r>
            <w:r w:rsidRPr="00E45641">
              <w:t xml:space="preserve"> GHz</w:t>
            </w:r>
            <w:r w:rsidR="002A16AA">
              <w:t xml:space="preserve"> (FR2)</w:t>
            </w:r>
          </w:p>
        </w:tc>
        <w:tc>
          <w:tcPr>
            <w:tcW w:w="1063" w:type="dxa"/>
          </w:tcPr>
          <w:p w14:paraId="0B6A4DAD" w14:textId="77777777" w:rsidR="00CA75F1" w:rsidRPr="00E45641" w:rsidRDefault="00CA75F1" w:rsidP="00CA75F1">
            <w:pPr>
              <w:pStyle w:val="BodyText"/>
              <w:spacing w:before="40" w:after="40"/>
              <w:jc w:val="center"/>
            </w:pPr>
            <w:r w:rsidRPr="00E45641">
              <w:rPr>
                <w:rFonts w:ascii="Wingdings" w:eastAsia="Wingdings" w:hAnsi="Wingdings" w:cs="Wingdings"/>
              </w:rPr>
              <w:t>ó</w:t>
            </w:r>
          </w:p>
        </w:tc>
        <w:tc>
          <w:tcPr>
            <w:tcW w:w="1063" w:type="dxa"/>
          </w:tcPr>
          <w:p w14:paraId="0832AF35" w14:textId="09C4BC3C" w:rsidR="00CA75F1" w:rsidRPr="00E45641" w:rsidRDefault="000138A9" w:rsidP="00CA75F1">
            <w:pPr>
              <w:pStyle w:val="BodyText"/>
              <w:spacing w:before="40" w:after="40"/>
              <w:jc w:val="center"/>
            </w:pPr>
            <w:r>
              <w:t>196</w:t>
            </w:r>
            <w:r w:rsidR="00CA75F1" w:rsidRPr="00E45641">
              <w:t xml:space="preserve"> kHz</w:t>
            </w:r>
          </w:p>
        </w:tc>
        <w:tc>
          <w:tcPr>
            <w:tcW w:w="2025" w:type="dxa"/>
          </w:tcPr>
          <w:p w14:paraId="1B783110" w14:textId="07FBF79B" w:rsidR="00CA75F1" w:rsidRPr="00E45641" w:rsidRDefault="00CA75F1" w:rsidP="00CA75F1">
            <w:pPr>
              <w:pStyle w:val="BodyText"/>
              <w:spacing w:before="40" w:after="40"/>
              <w:jc w:val="center"/>
            </w:pPr>
            <w:r>
              <w:t>71</w:t>
            </w:r>
            <w:r w:rsidRPr="00E45641">
              <w:t xml:space="preserve"> GHz</w:t>
            </w:r>
          </w:p>
        </w:tc>
      </w:tr>
    </w:tbl>
    <w:p w14:paraId="71CB2733" w14:textId="77777777" w:rsidR="005C0997" w:rsidRDefault="005C0997" w:rsidP="005C0997">
      <w:pPr>
        <w:pStyle w:val="BodyText"/>
        <w:jc w:val="center"/>
      </w:pPr>
    </w:p>
    <w:p w14:paraId="3FD16CB4" w14:textId="22836BE3" w:rsidR="005B544D" w:rsidRDefault="005C0997" w:rsidP="005C0997">
      <w:pPr>
        <w:pStyle w:val="BodyText"/>
      </w:pPr>
      <w:r>
        <w:t xml:space="preserve">Based on this simple exercise we can conclude that from a frequency error perspective, a SCS of 240 kHz </w:t>
      </w:r>
      <w:r w:rsidR="00CA75F1">
        <w:t xml:space="preserve">is </w:t>
      </w:r>
      <w:proofErr w:type="gramStart"/>
      <w:r w:rsidR="00CA75F1">
        <w:t>sufficient</w:t>
      </w:r>
      <w:proofErr w:type="gramEnd"/>
      <w:r w:rsidR="00CA75F1">
        <w:t xml:space="preserve"> </w:t>
      </w:r>
      <w:r>
        <w:t xml:space="preserve">for </w:t>
      </w:r>
      <w:r w:rsidR="00CA75F1">
        <w:t>the 52.6-71</w:t>
      </w:r>
      <w:r>
        <w:t xml:space="preserve"> GHz frequency</w:t>
      </w:r>
      <w:r w:rsidR="00CA75F1">
        <w:t xml:space="preserve"> range</w:t>
      </w:r>
      <w:r w:rsidR="002A16AA">
        <w:t xml:space="preserve"> to keep the same relative frequency error </w:t>
      </w:r>
      <m:oMath>
        <m:r>
          <w:rPr>
            <w:rFonts w:ascii="Cambria Math" w:hAnsi="Cambria Math"/>
          </w:rPr>
          <m:t>∆f/SCS</m:t>
        </m:r>
      </m:oMath>
      <w:r w:rsidR="002A16AA">
        <w:t xml:space="preserve"> </w:t>
      </w:r>
      <w:r w:rsidR="00E1490F">
        <w:t xml:space="preserve">as </w:t>
      </w:r>
      <w:r w:rsidR="002A16AA">
        <w:t>for FR1 and FR2.</w:t>
      </w:r>
    </w:p>
    <w:p w14:paraId="6C814AF4" w14:textId="4DBAB763" w:rsidR="005C0997" w:rsidRDefault="005C0997" w:rsidP="005C0997">
      <w:pPr>
        <w:pStyle w:val="BodyText"/>
      </w:pPr>
      <w:r>
        <w:lastRenderedPageBreak/>
        <w:t xml:space="preserve">As mentioned above, both the estimation accuracy and capture range scale inversely with the SCS, i.e. a system with a smaller SCS tolerates a smaller absolute error and </w:t>
      </w:r>
      <w:r w:rsidR="00E90690">
        <w:t xml:space="preserve">has </w:t>
      </w:r>
      <w:r>
        <w:t>a smaller absolute capture range assuming a fixed relative error of x%. Thus, there is no issue with estimating the frequency error based on a signal with smaller SCS (e.g. the SSB) and applying the correction to receive or transmit a signal with a higher SCS (DL/UL data channels). That is, having a higher SCS for data channels compared to the SSB poses no problem from a frequency error point of view.</w:t>
      </w:r>
    </w:p>
    <w:p w14:paraId="372576AA" w14:textId="37B42DB4" w:rsidR="005C0997" w:rsidRPr="001B36D6" w:rsidRDefault="000D009A" w:rsidP="003C2819">
      <w:pPr>
        <w:pStyle w:val="Proposal"/>
      </w:pPr>
      <w:bookmarkStart w:id="161" w:name="_Toc53776197"/>
      <w:r>
        <w:t>Capture the following observation in TR 38.808:</w:t>
      </w:r>
      <w:r w:rsidRPr="00382E66">
        <w:rPr>
          <w:lang w:val="en-GB"/>
        </w:rPr>
        <w:t xml:space="preserve"> </w:t>
      </w:r>
      <w:r w:rsidR="005C0997">
        <w:t xml:space="preserve">From a frequency error perspective, an SSB SCS of 240 kHz </w:t>
      </w:r>
      <w:r>
        <w:t xml:space="preserve">is </w:t>
      </w:r>
      <w:proofErr w:type="gramStart"/>
      <w:r>
        <w:t>sufficient</w:t>
      </w:r>
      <w:proofErr w:type="gramEnd"/>
      <w:r w:rsidR="005C0997">
        <w:t xml:space="preserve"> for </w:t>
      </w:r>
      <w:r>
        <w:t>the 52.6-71</w:t>
      </w:r>
      <w:r w:rsidR="005C0997">
        <w:t xml:space="preserve"> GHz frequency</w:t>
      </w:r>
      <w:r>
        <w:t xml:space="preserve"> range</w:t>
      </w:r>
      <w:r w:rsidR="002A16AA">
        <w:t xml:space="preserve"> to maintain similar relative error values as for FR1 and FR2</w:t>
      </w:r>
      <w:r w:rsidR="005C0997" w:rsidRPr="001078E8">
        <w:rPr>
          <w:lang w:val="en-GB"/>
        </w:rPr>
        <w:t>.</w:t>
      </w:r>
      <w:bookmarkEnd w:id="161"/>
      <w:r w:rsidR="005C0997" w:rsidRPr="001078E8">
        <w:rPr>
          <w:lang w:val="en-GB"/>
        </w:rPr>
        <w:t xml:space="preserve"> </w:t>
      </w:r>
    </w:p>
    <w:p w14:paraId="273A08A2" w14:textId="77777777" w:rsidR="005C0997" w:rsidRPr="0035235B" w:rsidRDefault="005C0997" w:rsidP="005C0997">
      <w:pPr>
        <w:pStyle w:val="BodyText"/>
      </w:pPr>
      <w:r>
        <w:t xml:space="preserve">Another </w:t>
      </w:r>
      <w:r w:rsidRPr="00F30C07">
        <w:t xml:space="preserve">use of the SSB is for timing estimation. In general, the timing estimation error scales as 1/BW, i.e. for a fixed number of sub-carriers, the error scales as 1/SCS. This means the timing estimation error is larger if it is based on a signal with smaller SCS (given that the number of sub-carriers is the same). Apart from being used for DL reception, the UE’s timing estimation ability also affects the UL. This is reflected in that RAN4 enforces UL timing accuracy requirements on the UE. For example, 38.133 defines requirements on the UE initial transmission timing error </w:t>
      </w:r>
      <w:r>
        <w:t>in Table 7.1.2-1.</w:t>
      </w:r>
      <w:r w:rsidRPr="00F30C07">
        <w:t xml:space="preserve"> </w:t>
      </w:r>
      <w:r>
        <w:t xml:space="preserve">To put the timing error into perspective let’s augment the table with two </w:t>
      </w:r>
      <w:r w:rsidRPr="00F30C07">
        <w:t>columns for percent of 1/SCS</w:t>
      </w:r>
      <w:r w:rsidRPr="0035235B">
        <w:rPr>
          <w:vertAlign w:val="subscript"/>
        </w:rPr>
        <w:t>SSB</w:t>
      </w:r>
      <w:r w:rsidRPr="00F30C07">
        <w:t xml:space="preserve"> and percent of UL CP</w:t>
      </w:r>
      <w:r>
        <w:t xml:space="preserve">. </w:t>
      </w:r>
    </w:p>
    <w:p w14:paraId="786A07F0" w14:textId="797BED47" w:rsidR="005C0997" w:rsidRPr="00F676BA" w:rsidRDefault="005C0997" w:rsidP="005C0997">
      <w:pPr>
        <w:pStyle w:val="TF"/>
        <w:keepLines w:val="0"/>
        <w:rPr>
          <w:lang w:val="en-US"/>
        </w:rPr>
      </w:pPr>
      <w:r w:rsidRPr="00F676BA">
        <w:rPr>
          <w:lang w:val="en-US"/>
        </w:rPr>
        <w:t xml:space="preserve">Figure </w:t>
      </w:r>
      <w:r w:rsidR="00100248">
        <w:fldChar w:fldCharType="begin"/>
      </w:r>
      <w:r w:rsidR="00100248">
        <w:instrText xml:space="preserve"> SEQ Figure \* ARABIC </w:instrText>
      </w:r>
      <w:r w:rsidR="00100248">
        <w:fldChar w:fldCharType="separate"/>
      </w:r>
      <w:r w:rsidR="00BE31F7">
        <w:rPr>
          <w:noProof/>
        </w:rPr>
        <w:t>29</w:t>
      </w:r>
      <w:r w:rsidR="00100248">
        <w:rPr>
          <w:noProof/>
        </w:rPr>
        <w:fldChar w:fldCharType="end"/>
      </w:r>
      <w:r w:rsidRPr="00932E91">
        <w:t xml:space="preserve">: </w:t>
      </w:r>
      <w:r>
        <w:t>Current initial UL timing error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1508"/>
        <w:gridCol w:w="1506"/>
        <w:gridCol w:w="1789"/>
        <w:gridCol w:w="1787"/>
        <w:gridCol w:w="1785"/>
      </w:tblGrid>
      <w:tr w:rsidR="005C0997" w14:paraId="3634C1B2" w14:textId="77777777" w:rsidTr="00C76E62">
        <w:trPr>
          <w:cantSplit/>
          <w:jc w:val="center"/>
        </w:trPr>
        <w:tc>
          <w:tcPr>
            <w:tcW w:w="651" w:type="pct"/>
            <w:tcBorders>
              <w:top w:val="single" w:sz="4" w:space="0" w:color="auto"/>
              <w:left w:val="single" w:sz="4" w:space="0" w:color="auto"/>
              <w:bottom w:val="single" w:sz="4" w:space="0" w:color="auto"/>
              <w:right w:val="single" w:sz="4" w:space="0" w:color="auto"/>
            </w:tcBorders>
            <w:vAlign w:val="center"/>
            <w:hideMark/>
          </w:tcPr>
          <w:p w14:paraId="16BF8145" w14:textId="77777777" w:rsidR="005C0997" w:rsidRPr="00885694" w:rsidRDefault="005C0997" w:rsidP="00C76E62">
            <w:pPr>
              <w:keepNext/>
              <w:keepLines/>
              <w:spacing w:after="0"/>
              <w:jc w:val="center"/>
              <w:rPr>
                <w:szCs w:val="22"/>
                <w:lang w:eastAsia="ko-KR"/>
              </w:rPr>
            </w:pPr>
            <w:r w:rsidRPr="00885694">
              <w:rPr>
                <w:rFonts w:ascii="Arial" w:hAnsi="Arial"/>
                <w:b/>
                <w:szCs w:val="22"/>
                <w:lang w:eastAsia="ko-KR"/>
              </w:rPr>
              <w:t>Frequency Range</w:t>
            </w:r>
          </w:p>
        </w:tc>
        <w:tc>
          <w:tcPr>
            <w:tcW w:w="783" w:type="pct"/>
            <w:tcBorders>
              <w:top w:val="single" w:sz="4" w:space="0" w:color="auto"/>
              <w:left w:val="single" w:sz="4" w:space="0" w:color="auto"/>
              <w:bottom w:val="single" w:sz="4" w:space="0" w:color="auto"/>
              <w:right w:val="single" w:sz="4" w:space="0" w:color="auto"/>
            </w:tcBorders>
            <w:vAlign w:val="center"/>
            <w:hideMark/>
          </w:tcPr>
          <w:p w14:paraId="4BCEE9F1" w14:textId="77777777" w:rsidR="005C0997" w:rsidRPr="00885694" w:rsidRDefault="005C0997" w:rsidP="00C76E62">
            <w:pPr>
              <w:keepNext/>
              <w:keepLines/>
              <w:spacing w:after="0"/>
              <w:jc w:val="center"/>
              <w:rPr>
                <w:szCs w:val="22"/>
                <w:lang w:eastAsia="ko-KR"/>
              </w:rPr>
            </w:pPr>
            <w:r w:rsidRPr="00885694">
              <w:rPr>
                <w:rFonts w:ascii="Arial" w:hAnsi="Arial"/>
                <w:b/>
                <w:szCs w:val="22"/>
                <w:lang w:eastAsia="ko-KR"/>
              </w:rPr>
              <w:t>SCS of SSB signals (kHz)</w:t>
            </w:r>
          </w:p>
        </w:tc>
        <w:tc>
          <w:tcPr>
            <w:tcW w:w="782" w:type="pct"/>
            <w:tcBorders>
              <w:top w:val="single" w:sz="4" w:space="0" w:color="auto"/>
              <w:left w:val="single" w:sz="4" w:space="0" w:color="auto"/>
              <w:bottom w:val="single" w:sz="4" w:space="0" w:color="auto"/>
              <w:right w:val="single" w:sz="4" w:space="0" w:color="auto"/>
            </w:tcBorders>
            <w:vAlign w:val="center"/>
            <w:hideMark/>
          </w:tcPr>
          <w:p w14:paraId="5BF18D07" w14:textId="77777777" w:rsidR="005C0997" w:rsidRPr="00885694" w:rsidRDefault="005C0997" w:rsidP="00C76E62">
            <w:pPr>
              <w:keepNext/>
              <w:keepLines/>
              <w:spacing w:after="0"/>
              <w:jc w:val="center"/>
              <w:rPr>
                <w:szCs w:val="22"/>
                <w:lang w:eastAsia="ko-KR"/>
              </w:rPr>
            </w:pPr>
            <w:r w:rsidRPr="00885694">
              <w:rPr>
                <w:rFonts w:ascii="Arial" w:hAnsi="Arial"/>
                <w:b/>
                <w:szCs w:val="22"/>
                <w:lang w:eastAsia="ko-KR"/>
              </w:rPr>
              <w:t xml:space="preserve">SCS of </w:t>
            </w:r>
            <w:r>
              <w:rPr>
                <w:rFonts w:ascii="Arial" w:hAnsi="Arial"/>
                <w:b/>
                <w:szCs w:val="22"/>
                <w:lang w:eastAsia="ko-KR"/>
              </w:rPr>
              <w:t>UL</w:t>
            </w:r>
            <w:r w:rsidRPr="00885694">
              <w:rPr>
                <w:rFonts w:ascii="Arial" w:hAnsi="Arial"/>
                <w:b/>
                <w:szCs w:val="22"/>
                <w:lang w:eastAsia="ko-KR"/>
              </w:rPr>
              <w:t xml:space="preserve"> signals (kHz)</w:t>
            </w:r>
          </w:p>
        </w:tc>
        <w:tc>
          <w:tcPr>
            <w:tcW w:w="929" w:type="pct"/>
            <w:tcBorders>
              <w:top w:val="single" w:sz="4" w:space="0" w:color="auto"/>
              <w:left w:val="single" w:sz="4" w:space="0" w:color="auto"/>
              <w:bottom w:val="single" w:sz="4" w:space="0" w:color="auto"/>
              <w:right w:val="single" w:sz="4" w:space="0" w:color="auto"/>
            </w:tcBorders>
            <w:vAlign w:val="center"/>
            <w:hideMark/>
          </w:tcPr>
          <w:p w14:paraId="5CBC3483" w14:textId="77777777" w:rsidR="005C0997" w:rsidRPr="00885694" w:rsidRDefault="005C0997" w:rsidP="00C76E62">
            <w:pPr>
              <w:keepNext/>
              <w:keepLines/>
              <w:spacing w:after="0"/>
              <w:jc w:val="center"/>
              <w:rPr>
                <w:szCs w:val="22"/>
                <w:lang w:eastAsia="ko-KR"/>
              </w:rPr>
            </w:pPr>
            <w:proofErr w:type="spellStart"/>
            <w:r w:rsidRPr="00885694">
              <w:rPr>
                <w:rFonts w:ascii="Arial" w:hAnsi="Arial"/>
                <w:b/>
                <w:szCs w:val="22"/>
                <w:lang w:eastAsia="ko-KR"/>
              </w:rPr>
              <w:t>T</w:t>
            </w:r>
            <w:r w:rsidRPr="00885694">
              <w:rPr>
                <w:rFonts w:ascii="Arial" w:hAnsi="Arial"/>
                <w:b/>
                <w:szCs w:val="22"/>
                <w:vertAlign w:val="subscript"/>
                <w:lang w:eastAsia="ko-KR"/>
              </w:rPr>
              <w:t>e</w:t>
            </w:r>
            <w:proofErr w:type="spellEnd"/>
            <w:r w:rsidRPr="00885694">
              <w:rPr>
                <w:rFonts w:ascii="Arial" w:hAnsi="Arial"/>
                <w:b/>
                <w:szCs w:val="22"/>
                <w:vertAlign w:val="subscript"/>
                <w:lang w:eastAsia="ko-KR"/>
              </w:rPr>
              <w:t xml:space="preserve"> </w:t>
            </w:r>
            <w:r w:rsidRPr="00885694">
              <w:rPr>
                <w:rFonts w:ascii="Arial" w:hAnsi="Arial"/>
                <w:b/>
                <w:szCs w:val="22"/>
                <w:vertAlign w:val="subscript"/>
                <w:lang w:eastAsia="ko-KR"/>
              </w:rPr>
              <w:br/>
            </w:r>
            <w:r w:rsidRPr="00885694">
              <w:rPr>
                <w:rFonts w:ascii="Arial" w:hAnsi="Arial"/>
                <w:b/>
                <w:szCs w:val="22"/>
                <w:lang w:eastAsia="ko-KR"/>
              </w:rPr>
              <w:t>(Ts=64Tc)</w:t>
            </w:r>
          </w:p>
        </w:tc>
        <w:tc>
          <w:tcPr>
            <w:tcW w:w="928" w:type="pct"/>
            <w:tcBorders>
              <w:top w:val="single" w:sz="4" w:space="0" w:color="auto"/>
              <w:left w:val="single" w:sz="4" w:space="0" w:color="auto"/>
              <w:bottom w:val="single" w:sz="4" w:space="0" w:color="auto"/>
              <w:right w:val="single" w:sz="4" w:space="0" w:color="auto"/>
            </w:tcBorders>
          </w:tcPr>
          <w:p w14:paraId="3B375FCE" w14:textId="77777777" w:rsidR="005C0997" w:rsidRPr="00885694" w:rsidRDefault="005C0997" w:rsidP="00C76E62">
            <w:pPr>
              <w:keepNext/>
              <w:keepLines/>
              <w:spacing w:after="0"/>
              <w:jc w:val="center"/>
              <w:rPr>
                <w:rFonts w:ascii="Arial" w:hAnsi="Arial"/>
                <w:b/>
                <w:szCs w:val="22"/>
                <w:lang w:eastAsia="ko-KR"/>
              </w:rPr>
            </w:pPr>
            <w:r w:rsidRPr="00885694">
              <w:rPr>
                <w:rFonts w:ascii="Arial" w:hAnsi="Arial"/>
                <w:b/>
                <w:szCs w:val="22"/>
                <w:lang w:eastAsia="ko-KR"/>
              </w:rPr>
              <w:t xml:space="preserve">Percent of </w:t>
            </w:r>
            <w:r w:rsidRPr="00885694">
              <w:rPr>
                <w:rFonts w:ascii="Arial" w:hAnsi="Arial"/>
                <w:b/>
                <w:szCs w:val="22"/>
                <w:lang w:eastAsia="ko-KR"/>
              </w:rPr>
              <w:br/>
              <w:t>1/SCS</w:t>
            </w:r>
            <w:r w:rsidRPr="0035235B">
              <w:rPr>
                <w:rFonts w:ascii="Arial" w:hAnsi="Arial"/>
                <w:b/>
                <w:szCs w:val="22"/>
                <w:vertAlign w:val="subscript"/>
                <w:lang w:eastAsia="ko-KR"/>
              </w:rPr>
              <w:t>SSB</w:t>
            </w:r>
          </w:p>
        </w:tc>
        <w:tc>
          <w:tcPr>
            <w:tcW w:w="927" w:type="pct"/>
            <w:tcBorders>
              <w:top w:val="single" w:sz="4" w:space="0" w:color="auto"/>
              <w:left w:val="single" w:sz="4" w:space="0" w:color="auto"/>
              <w:bottom w:val="single" w:sz="4" w:space="0" w:color="auto"/>
              <w:right w:val="single" w:sz="4" w:space="0" w:color="auto"/>
            </w:tcBorders>
          </w:tcPr>
          <w:p w14:paraId="56632FFC" w14:textId="77777777" w:rsidR="005C0997" w:rsidRPr="00885694" w:rsidRDefault="005C0997" w:rsidP="00C76E62">
            <w:pPr>
              <w:keepNext/>
              <w:keepLines/>
              <w:spacing w:after="0"/>
              <w:jc w:val="center"/>
              <w:rPr>
                <w:rFonts w:ascii="Arial" w:hAnsi="Arial"/>
                <w:b/>
                <w:szCs w:val="22"/>
                <w:lang w:eastAsia="ko-KR"/>
              </w:rPr>
            </w:pPr>
            <w:r w:rsidRPr="00885694">
              <w:rPr>
                <w:rFonts w:ascii="Arial" w:hAnsi="Arial"/>
                <w:b/>
                <w:szCs w:val="22"/>
                <w:lang w:eastAsia="ko-KR"/>
              </w:rPr>
              <w:t xml:space="preserve">Percent of </w:t>
            </w:r>
            <w:r w:rsidRPr="00885694">
              <w:rPr>
                <w:rFonts w:ascii="Arial" w:hAnsi="Arial"/>
                <w:b/>
                <w:szCs w:val="22"/>
                <w:lang w:eastAsia="ko-KR"/>
              </w:rPr>
              <w:br/>
              <w:t>UL CP</w:t>
            </w:r>
          </w:p>
        </w:tc>
      </w:tr>
      <w:tr w:rsidR="005C0997" w14:paraId="56563BC3" w14:textId="77777777" w:rsidTr="00C76E62">
        <w:trPr>
          <w:cantSplit/>
          <w:jc w:val="center"/>
        </w:trPr>
        <w:tc>
          <w:tcPr>
            <w:tcW w:w="651" w:type="pct"/>
            <w:vMerge w:val="restart"/>
            <w:tcBorders>
              <w:top w:val="single" w:sz="4" w:space="0" w:color="auto"/>
              <w:left w:val="single" w:sz="4" w:space="0" w:color="auto"/>
              <w:bottom w:val="single" w:sz="4" w:space="0" w:color="auto"/>
              <w:right w:val="single" w:sz="4" w:space="0" w:color="auto"/>
            </w:tcBorders>
            <w:vAlign w:val="center"/>
            <w:hideMark/>
          </w:tcPr>
          <w:p w14:paraId="20F799C4" w14:textId="77777777" w:rsidR="005C0997" w:rsidRPr="00885694" w:rsidRDefault="005C0997" w:rsidP="00C76E62">
            <w:pPr>
              <w:pStyle w:val="TAC"/>
              <w:rPr>
                <w:sz w:val="20"/>
                <w:szCs w:val="22"/>
                <w:lang w:eastAsia="ko-KR"/>
              </w:rPr>
            </w:pPr>
            <w:r w:rsidRPr="00885694">
              <w:rPr>
                <w:sz w:val="20"/>
                <w:szCs w:val="22"/>
                <w:lang w:eastAsia="ko-KR"/>
              </w:rPr>
              <w:t>1</w:t>
            </w: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55D2AE59" w14:textId="77777777" w:rsidR="005C0997" w:rsidRPr="00885694" w:rsidRDefault="005C0997" w:rsidP="00C76E62">
            <w:pPr>
              <w:pStyle w:val="TAC"/>
              <w:rPr>
                <w:sz w:val="20"/>
                <w:szCs w:val="22"/>
                <w:lang w:eastAsia="ko-KR"/>
              </w:rPr>
            </w:pPr>
            <w:r w:rsidRPr="00885694">
              <w:rPr>
                <w:sz w:val="20"/>
                <w:szCs w:val="22"/>
                <w:lang w:eastAsia="ko-KR"/>
              </w:rPr>
              <w:t>15</w:t>
            </w:r>
          </w:p>
        </w:tc>
        <w:tc>
          <w:tcPr>
            <w:tcW w:w="782" w:type="pct"/>
            <w:tcBorders>
              <w:top w:val="single" w:sz="4" w:space="0" w:color="auto"/>
              <w:left w:val="single" w:sz="4" w:space="0" w:color="auto"/>
              <w:bottom w:val="single" w:sz="4" w:space="0" w:color="auto"/>
              <w:right w:val="single" w:sz="4" w:space="0" w:color="auto"/>
            </w:tcBorders>
            <w:hideMark/>
          </w:tcPr>
          <w:p w14:paraId="0E776460" w14:textId="77777777" w:rsidR="005C0997" w:rsidRPr="00885694" w:rsidRDefault="005C0997" w:rsidP="00C76E62">
            <w:pPr>
              <w:pStyle w:val="TAC"/>
              <w:rPr>
                <w:sz w:val="20"/>
                <w:szCs w:val="22"/>
                <w:lang w:eastAsia="ko-KR"/>
              </w:rPr>
            </w:pPr>
            <w:r w:rsidRPr="00885694">
              <w:rPr>
                <w:sz w:val="20"/>
                <w:szCs w:val="22"/>
                <w:lang w:eastAsia="ko-KR"/>
              </w:rPr>
              <w:t>15</w:t>
            </w:r>
          </w:p>
        </w:tc>
        <w:tc>
          <w:tcPr>
            <w:tcW w:w="929" w:type="pct"/>
            <w:tcBorders>
              <w:top w:val="single" w:sz="4" w:space="0" w:color="auto"/>
              <w:left w:val="single" w:sz="4" w:space="0" w:color="auto"/>
              <w:bottom w:val="single" w:sz="4" w:space="0" w:color="auto"/>
              <w:right w:val="single" w:sz="4" w:space="0" w:color="auto"/>
            </w:tcBorders>
            <w:hideMark/>
          </w:tcPr>
          <w:p w14:paraId="15527AC3" w14:textId="77777777" w:rsidR="005C0997" w:rsidRPr="00885694" w:rsidRDefault="005C0997" w:rsidP="00C76E62">
            <w:pPr>
              <w:pStyle w:val="TAC"/>
              <w:rPr>
                <w:sz w:val="20"/>
                <w:szCs w:val="22"/>
                <w:lang w:eastAsia="ko-KR"/>
              </w:rPr>
            </w:pPr>
            <w:r w:rsidRPr="00885694">
              <w:rPr>
                <w:sz w:val="20"/>
                <w:szCs w:val="22"/>
                <w:lang w:eastAsia="ko-KR"/>
              </w:rPr>
              <w:t>12</w:t>
            </w:r>
          </w:p>
        </w:tc>
        <w:tc>
          <w:tcPr>
            <w:tcW w:w="928" w:type="pct"/>
            <w:tcBorders>
              <w:top w:val="single" w:sz="4" w:space="0" w:color="auto"/>
              <w:left w:val="single" w:sz="4" w:space="0" w:color="auto"/>
              <w:bottom w:val="single" w:sz="4" w:space="0" w:color="auto"/>
              <w:right w:val="single" w:sz="4" w:space="0" w:color="auto"/>
            </w:tcBorders>
            <w:vAlign w:val="bottom"/>
          </w:tcPr>
          <w:p w14:paraId="183C540C" w14:textId="77777777" w:rsidR="005C0997" w:rsidRPr="00885694" w:rsidRDefault="005C0997" w:rsidP="00C76E62">
            <w:pPr>
              <w:pStyle w:val="TAC"/>
              <w:rPr>
                <w:sz w:val="20"/>
                <w:szCs w:val="22"/>
                <w:lang w:eastAsia="ko-KR"/>
              </w:rPr>
            </w:pPr>
            <w:r w:rsidRPr="00885694">
              <w:rPr>
                <w:sz w:val="20"/>
                <w:szCs w:val="22"/>
                <w:lang w:eastAsia="ko-KR"/>
              </w:rPr>
              <w:t>0.6</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5D711597" w14:textId="77777777" w:rsidR="005C0997" w:rsidRPr="00885694" w:rsidRDefault="005C0997" w:rsidP="00C76E62">
            <w:pPr>
              <w:pStyle w:val="TAC"/>
              <w:rPr>
                <w:sz w:val="20"/>
                <w:szCs w:val="22"/>
                <w:lang w:eastAsia="ko-KR"/>
              </w:rPr>
            </w:pPr>
            <w:r w:rsidRPr="00885694">
              <w:rPr>
                <w:sz w:val="20"/>
                <w:szCs w:val="22"/>
                <w:lang w:eastAsia="ko-KR"/>
              </w:rPr>
              <w:t>8</w:t>
            </w:r>
            <w:r w:rsidRPr="00885694">
              <w:rPr>
                <w:sz w:val="20"/>
                <w:szCs w:val="22"/>
                <w:lang w:val="en-US" w:eastAsia="ko-KR"/>
              </w:rPr>
              <w:t xml:space="preserve"> </w:t>
            </w:r>
            <w:r w:rsidRPr="00885694">
              <w:rPr>
                <w:sz w:val="20"/>
                <w:szCs w:val="22"/>
                <w:lang w:eastAsia="ko-KR"/>
              </w:rPr>
              <w:t>%</w:t>
            </w:r>
          </w:p>
        </w:tc>
      </w:tr>
      <w:tr w:rsidR="005C0997" w14:paraId="4907E5FC"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453F95FC"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3369BED6"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7ACAECDC" w14:textId="77777777" w:rsidR="005C0997" w:rsidRPr="00885694" w:rsidRDefault="005C0997" w:rsidP="00C76E62">
            <w:pPr>
              <w:pStyle w:val="TAC"/>
              <w:rPr>
                <w:sz w:val="20"/>
                <w:szCs w:val="22"/>
                <w:lang w:eastAsia="ko-KR"/>
              </w:rPr>
            </w:pPr>
            <w:r w:rsidRPr="00885694">
              <w:rPr>
                <w:sz w:val="20"/>
                <w:szCs w:val="22"/>
                <w:lang w:eastAsia="ko-KR"/>
              </w:rPr>
              <w:t>30</w:t>
            </w:r>
          </w:p>
        </w:tc>
        <w:tc>
          <w:tcPr>
            <w:tcW w:w="929" w:type="pct"/>
            <w:tcBorders>
              <w:top w:val="single" w:sz="4" w:space="0" w:color="auto"/>
              <w:left w:val="single" w:sz="4" w:space="0" w:color="auto"/>
              <w:bottom w:val="single" w:sz="4" w:space="0" w:color="auto"/>
              <w:right w:val="single" w:sz="4" w:space="0" w:color="auto"/>
            </w:tcBorders>
            <w:hideMark/>
          </w:tcPr>
          <w:p w14:paraId="55ED9AF3" w14:textId="77777777" w:rsidR="005C0997" w:rsidRPr="00885694" w:rsidRDefault="005C0997" w:rsidP="00C76E62">
            <w:pPr>
              <w:pStyle w:val="TAC"/>
              <w:rPr>
                <w:sz w:val="20"/>
                <w:szCs w:val="22"/>
                <w:lang w:eastAsia="ko-KR"/>
              </w:rPr>
            </w:pPr>
            <w:r w:rsidRPr="00885694">
              <w:rPr>
                <w:sz w:val="20"/>
                <w:szCs w:val="22"/>
                <w:lang w:eastAsia="ko-KR"/>
              </w:rPr>
              <w:t>10</w:t>
            </w:r>
          </w:p>
        </w:tc>
        <w:tc>
          <w:tcPr>
            <w:tcW w:w="928" w:type="pct"/>
            <w:tcBorders>
              <w:top w:val="single" w:sz="4" w:space="0" w:color="auto"/>
              <w:left w:val="single" w:sz="4" w:space="0" w:color="auto"/>
              <w:bottom w:val="single" w:sz="4" w:space="0" w:color="auto"/>
              <w:right w:val="single" w:sz="4" w:space="0" w:color="auto"/>
            </w:tcBorders>
            <w:vAlign w:val="bottom"/>
          </w:tcPr>
          <w:p w14:paraId="175E2CD4" w14:textId="77777777" w:rsidR="005C0997" w:rsidRPr="00885694" w:rsidRDefault="005C0997" w:rsidP="00C76E62">
            <w:pPr>
              <w:pStyle w:val="TAC"/>
              <w:rPr>
                <w:sz w:val="20"/>
                <w:szCs w:val="22"/>
                <w:lang w:eastAsia="ko-KR"/>
              </w:rPr>
            </w:pPr>
            <w:r w:rsidRPr="00885694">
              <w:rPr>
                <w:sz w:val="20"/>
                <w:szCs w:val="22"/>
                <w:lang w:eastAsia="ko-KR"/>
              </w:rPr>
              <w:t>0.5</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12EA7E9C" w14:textId="77777777" w:rsidR="005C0997" w:rsidRPr="00885694" w:rsidRDefault="005C0997" w:rsidP="00C76E62">
            <w:pPr>
              <w:pStyle w:val="TAC"/>
              <w:rPr>
                <w:sz w:val="20"/>
                <w:szCs w:val="22"/>
                <w:lang w:eastAsia="ko-KR"/>
              </w:rPr>
            </w:pPr>
            <w:r w:rsidRPr="00885694">
              <w:rPr>
                <w:sz w:val="20"/>
                <w:szCs w:val="22"/>
                <w:lang w:eastAsia="ko-KR"/>
              </w:rPr>
              <w:t>14</w:t>
            </w:r>
            <w:r w:rsidRPr="00885694">
              <w:rPr>
                <w:sz w:val="20"/>
                <w:szCs w:val="22"/>
                <w:lang w:val="en-US" w:eastAsia="ko-KR"/>
              </w:rPr>
              <w:t xml:space="preserve"> </w:t>
            </w:r>
            <w:r w:rsidRPr="00885694">
              <w:rPr>
                <w:sz w:val="20"/>
                <w:szCs w:val="22"/>
                <w:lang w:eastAsia="ko-KR"/>
              </w:rPr>
              <w:t>%</w:t>
            </w:r>
          </w:p>
        </w:tc>
      </w:tr>
      <w:tr w:rsidR="005C0997" w14:paraId="40938660"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4F0EE10B"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08DC3D70"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042DAE62" w14:textId="77777777" w:rsidR="005C0997" w:rsidRPr="00885694" w:rsidRDefault="005C0997" w:rsidP="00C76E62">
            <w:pPr>
              <w:pStyle w:val="TAC"/>
              <w:rPr>
                <w:sz w:val="20"/>
                <w:szCs w:val="22"/>
                <w:lang w:eastAsia="ko-KR"/>
              </w:rPr>
            </w:pPr>
            <w:r w:rsidRPr="00885694">
              <w:rPr>
                <w:sz w:val="20"/>
                <w:szCs w:val="22"/>
                <w:lang w:eastAsia="ko-KR"/>
              </w:rPr>
              <w:t>60</w:t>
            </w:r>
          </w:p>
        </w:tc>
        <w:tc>
          <w:tcPr>
            <w:tcW w:w="929" w:type="pct"/>
            <w:tcBorders>
              <w:top w:val="single" w:sz="4" w:space="0" w:color="auto"/>
              <w:left w:val="single" w:sz="4" w:space="0" w:color="auto"/>
              <w:bottom w:val="single" w:sz="4" w:space="0" w:color="auto"/>
              <w:right w:val="single" w:sz="4" w:space="0" w:color="auto"/>
            </w:tcBorders>
            <w:hideMark/>
          </w:tcPr>
          <w:p w14:paraId="67879E05" w14:textId="77777777" w:rsidR="005C0997" w:rsidRPr="00885694" w:rsidRDefault="005C0997" w:rsidP="00C76E62">
            <w:pPr>
              <w:pStyle w:val="TAC"/>
              <w:rPr>
                <w:sz w:val="20"/>
                <w:szCs w:val="22"/>
                <w:lang w:eastAsia="ko-KR"/>
              </w:rPr>
            </w:pPr>
            <w:r w:rsidRPr="00885694">
              <w:rPr>
                <w:sz w:val="20"/>
                <w:szCs w:val="22"/>
                <w:lang w:eastAsia="ko-KR"/>
              </w:rPr>
              <w:t>10</w:t>
            </w:r>
          </w:p>
        </w:tc>
        <w:tc>
          <w:tcPr>
            <w:tcW w:w="928" w:type="pct"/>
            <w:tcBorders>
              <w:top w:val="single" w:sz="4" w:space="0" w:color="auto"/>
              <w:left w:val="single" w:sz="4" w:space="0" w:color="auto"/>
              <w:bottom w:val="single" w:sz="4" w:space="0" w:color="auto"/>
              <w:right w:val="single" w:sz="4" w:space="0" w:color="auto"/>
            </w:tcBorders>
            <w:vAlign w:val="bottom"/>
          </w:tcPr>
          <w:p w14:paraId="58C61D67" w14:textId="77777777" w:rsidR="005C0997" w:rsidRPr="00885694" w:rsidRDefault="005C0997" w:rsidP="00C76E62">
            <w:pPr>
              <w:pStyle w:val="TAC"/>
              <w:rPr>
                <w:sz w:val="20"/>
                <w:szCs w:val="22"/>
                <w:lang w:eastAsia="ko-KR"/>
              </w:rPr>
            </w:pPr>
            <w:r w:rsidRPr="00885694">
              <w:rPr>
                <w:sz w:val="20"/>
                <w:szCs w:val="22"/>
                <w:lang w:eastAsia="ko-KR"/>
              </w:rPr>
              <w:t>0.5</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4362CE5C" w14:textId="77777777" w:rsidR="005C0997" w:rsidRPr="00885694" w:rsidRDefault="005C0997" w:rsidP="00C76E62">
            <w:pPr>
              <w:pStyle w:val="TAC"/>
              <w:rPr>
                <w:sz w:val="20"/>
                <w:szCs w:val="22"/>
                <w:lang w:eastAsia="ko-KR"/>
              </w:rPr>
            </w:pPr>
            <w:r w:rsidRPr="00885694">
              <w:rPr>
                <w:sz w:val="20"/>
                <w:szCs w:val="22"/>
                <w:lang w:eastAsia="ko-KR"/>
              </w:rPr>
              <w:t>28</w:t>
            </w:r>
            <w:r w:rsidRPr="00885694">
              <w:rPr>
                <w:sz w:val="20"/>
                <w:szCs w:val="22"/>
                <w:lang w:val="en-US" w:eastAsia="ko-KR"/>
              </w:rPr>
              <w:t xml:space="preserve"> </w:t>
            </w:r>
            <w:r w:rsidRPr="00885694">
              <w:rPr>
                <w:sz w:val="20"/>
                <w:szCs w:val="22"/>
                <w:lang w:eastAsia="ko-KR"/>
              </w:rPr>
              <w:t>%</w:t>
            </w:r>
          </w:p>
        </w:tc>
      </w:tr>
      <w:tr w:rsidR="005C0997" w14:paraId="54AC0272"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7696DA60" w14:textId="77777777" w:rsidR="005C0997" w:rsidRPr="00885694" w:rsidRDefault="005C0997" w:rsidP="00C76E62">
            <w:pPr>
              <w:spacing w:after="0"/>
              <w:rPr>
                <w:rFonts w:ascii="Arial" w:hAnsi="Arial"/>
                <w:szCs w:val="22"/>
                <w:lang w:val="en-GB" w:eastAsia="ko-KR"/>
              </w:rPr>
            </w:pP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14449C59" w14:textId="77777777" w:rsidR="005C0997" w:rsidRPr="00885694" w:rsidRDefault="005C0997" w:rsidP="00C76E62">
            <w:pPr>
              <w:pStyle w:val="TAC"/>
              <w:rPr>
                <w:sz w:val="20"/>
                <w:szCs w:val="22"/>
                <w:lang w:eastAsia="ko-KR"/>
              </w:rPr>
            </w:pPr>
            <w:r w:rsidRPr="00885694">
              <w:rPr>
                <w:sz w:val="20"/>
                <w:szCs w:val="22"/>
                <w:lang w:eastAsia="ko-KR"/>
              </w:rPr>
              <w:t>30</w:t>
            </w:r>
          </w:p>
        </w:tc>
        <w:tc>
          <w:tcPr>
            <w:tcW w:w="782" w:type="pct"/>
            <w:tcBorders>
              <w:top w:val="single" w:sz="4" w:space="0" w:color="auto"/>
              <w:left w:val="single" w:sz="4" w:space="0" w:color="auto"/>
              <w:bottom w:val="single" w:sz="4" w:space="0" w:color="auto"/>
              <w:right w:val="single" w:sz="4" w:space="0" w:color="auto"/>
            </w:tcBorders>
            <w:hideMark/>
          </w:tcPr>
          <w:p w14:paraId="272EC565" w14:textId="77777777" w:rsidR="005C0997" w:rsidRPr="00885694" w:rsidRDefault="005C0997" w:rsidP="00C76E62">
            <w:pPr>
              <w:pStyle w:val="TAC"/>
              <w:rPr>
                <w:sz w:val="20"/>
                <w:szCs w:val="22"/>
                <w:lang w:eastAsia="ko-KR"/>
              </w:rPr>
            </w:pPr>
            <w:r w:rsidRPr="00885694">
              <w:rPr>
                <w:sz w:val="20"/>
                <w:szCs w:val="22"/>
                <w:lang w:eastAsia="ko-KR"/>
              </w:rPr>
              <w:t>15</w:t>
            </w:r>
          </w:p>
        </w:tc>
        <w:tc>
          <w:tcPr>
            <w:tcW w:w="929" w:type="pct"/>
            <w:tcBorders>
              <w:top w:val="single" w:sz="4" w:space="0" w:color="auto"/>
              <w:left w:val="single" w:sz="4" w:space="0" w:color="auto"/>
              <w:bottom w:val="single" w:sz="4" w:space="0" w:color="auto"/>
              <w:right w:val="single" w:sz="4" w:space="0" w:color="auto"/>
            </w:tcBorders>
            <w:hideMark/>
          </w:tcPr>
          <w:p w14:paraId="48577CF9" w14:textId="77777777" w:rsidR="005C0997" w:rsidRPr="00885694" w:rsidRDefault="005C0997" w:rsidP="00C76E62">
            <w:pPr>
              <w:pStyle w:val="TAC"/>
              <w:rPr>
                <w:sz w:val="20"/>
                <w:szCs w:val="22"/>
                <w:lang w:eastAsia="ko-KR"/>
              </w:rPr>
            </w:pPr>
            <w:r w:rsidRPr="00885694">
              <w:rPr>
                <w:sz w:val="20"/>
                <w:szCs w:val="22"/>
                <w:lang w:eastAsia="ko-KR"/>
              </w:rPr>
              <w:t>8</w:t>
            </w:r>
          </w:p>
        </w:tc>
        <w:tc>
          <w:tcPr>
            <w:tcW w:w="928" w:type="pct"/>
            <w:tcBorders>
              <w:top w:val="single" w:sz="4" w:space="0" w:color="auto"/>
              <w:left w:val="single" w:sz="4" w:space="0" w:color="auto"/>
              <w:bottom w:val="single" w:sz="4" w:space="0" w:color="auto"/>
              <w:right w:val="single" w:sz="4" w:space="0" w:color="auto"/>
            </w:tcBorders>
            <w:vAlign w:val="bottom"/>
          </w:tcPr>
          <w:p w14:paraId="5F6228A8" w14:textId="77777777" w:rsidR="005C0997" w:rsidRPr="00885694" w:rsidRDefault="005C0997" w:rsidP="00C76E62">
            <w:pPr>
              <w:pStyle w:val="TAC"/>
              <w:rPr>
                <w:sz w:val="20"/>
                <w:szCs w:val="22"/>
                <w:lang w:eastAsia="ko-KR"/>
              </w:rPr>
            </w:pPr>
            <w:r w:rsidRPr="00885694">
              <w:rPr>
                <w:sz w:val="20"/>
                <w:szCs w:val="22"/>
                <w:lang w:eastAsia="ko-KR"/>
              </w:rPr>
              <w:t>0.8</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53BEAAD1" w14:textId="77777777" w:rsidR="005C0997" w:rsidRPr="00885694" w:rsidRDefault="005C0997" w:rsidP="00C76E62">
            <w:pPr>
              <w:pStyle w:val="TAC"/>
              <w:rPr>
                <w:sz w:val="20"/>
                <w:szCs w:val="22"/>
                <w:lang w:val="en-US" w:eastAsia="ko-KR"/>
              </w:rPr>
            </w:pPr>
            <w:r w:rsidRPr="00885694">
              <w:rPr>
                <w:sz w:val="20"/>
                <w:szCs w:val="22"/>
                <w:lang w:eastAsia="ko-KR"/>
              </w:rPr>
              <w:t>6</w:t>
            </w:r>
            <w:r w:rsidRPr="00885694">
              <w:rPr>
                <w:sz w:val="20"/>
                <w:szCs w:val="22"/>
                <w:lang w:val="en-US" w:eastAsia="ko-KR"/>
              </w:rPr>
              <w:t xml:space="preserve"> </w:t>
            </w:r>
            <w:r w:rsidRPr="00885694">
              <w:rPr>
                <w:sz w:val="20"/>
                <w:szCs w:val="22"/>
                <w:lang w:eastAsia="ko-KR"/>
              </w:rPr>
              <w:t>%</w:t>
            </w:r>
          </w:p>
        </w:tc>
      </w:tr>
      <w:tr w:rsidR="005C0997" w14:paraId="0D509957"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65E6A62E"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5C821996"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061C7865" w14:textId="77777777" w:rsidR="005C0997" w:rsidRPr="00885694" w:rsidRDefault="005C0997" w:rsidP="00C76E62">
            <w:pPr>
              <w:pStyle w:val="TAC"/>
              <w:rPr>
                <w:sz w:val="20"/>
                <w:szCs w:val="22"/>
                <w:lang w:eastAsia="ko-KR"/>
              </w:rPr>
            </w:pPr>
            <w:r w:rsidRPr="00885694">
              <w:rPr>
                <w:sz w:val="20"/>
                <w:szCs w:val="22"/>
                <w:lang w:eastAsia="ko-KR"/>
              </w:rPr>
              <w:t>30</w:t>
            </w:r>
          </w:p>
        </w:tc>
        <w:tc>
          <w:tcPr>
            <w:tcW w:w="929" w:type="pct"/>
            <w:tcBorders>
              <w:top w:val="single" w:sz="4" w:space="0" w:color="auto"/>
              <w:left w:val="single" w:sz="4" w:space="0" w:color="auto"/>
              <w:bottom w:val="single" w:sz="4" w:space="0" w:color="auto"/>
              <w:right w:val="single" w:sz="4" w:space="0" w:color="auto"/>
            </w:tcBorders>
            <w:hideMark/>
          </w:tcPr>
          <w:p w14:paraId="0D43798F" w14:textId="77777777" w:rsidR="005C0997" w:rsidRPr="00885694" w:rsidRDefault="005C0997" w:rsidP="00C76E62">
            <w:pPr>
              <w:pStyle w:val="TAC"/>
              <w:rPr>
                <w:sz w:val="20"/>
                <w:szCs w:val="22"/>
                <w:lang w:eastAsia="ko-KR"/>
              </w:rPr>
            </w:pPr>
            <w:r w:rsidRPr="00885694">
              <w:rPr>
                <w:sz w:val="20"/>
                <w:szCs w:val="22"/>
                <w:lang w:eastAsia="ko-KR"/>
              </w:rPr>
              <w:t>8</w:t>
            </w:r>
          </w:p>
        </w:tc>
        <w:tc>
          <w:tcPr>
            <w:tcW w:w="928" w:type="pct"/>
            <w:tcBorders>
              <w:top w:val="single" w:sz="4" w:space="0" w:color="auto"/>
              <w:left w:val="single" w:sz="4" w:space="0" w:color="auto"/>
              <w:bottom w:val="single" w:sz="4" w:space="0" w:color="auto"/>
              <w:right w:val="single" w:sz="4" w:space="0" w:color="auto"/>
            </w:tcBorders>
            <w:vAlign w:val="bottom"/>
          </w:tcPr>
          <w:p w14:paraId="709B25A2" w14:textId="77777777" w:rsidR="005C0997" w:rsidRPr="00885694" w:rsidRDefault="005C0997" w:rsidP="00C76E62">
            <w:pPr>
              <w:pStyle w:val="TAC"/>
              <w:rPr>
                <w:sz w:val="20"/>
                <w:szCs w:val="22"/>
                <w:lang w:eastAsia="ko-KR"/>
              </w:rPr>
            </w:pPr>
            <w:r w:rsidRPr="00885694">
              <w:rPr>
                <w:sz w:val="20"/>
                <w:szCs w:val="22"/>
                <w:lang w:eastAsia="ko-KR"/>
              </w:rPr>
              <w:t>0.8</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0AFFAB05" w14:textId="77777777" w:rsidR="005C0997" w:rsidRPr="00885694" w:rsidRDefault="005C0997" w:rsidP="00C76E62">
            <w:pPr>
              <w:pStyle w:val="TAC"/>
              <w:rPr>
                <w:sz w:val="20"/>
                <w:szCs w:val="22"/>
                <w:lang w:eastAsia="ko-KR"/>
              </w:rPr>
            </w:pPr>
            <w:r w:rsidRPr="00885694">
              <w:rPr>
                <w:sz w:val="20"/>
                <w:szCs w:val="22"/>
                <w:lang w:eastAsia="ko-KR"/>
              </w:rPr>
              <w:t>11</w:t>
            </w:r>
            <w:r w:rsidRPr="00885694">
              <w:rPr>
                <w:sz w:val="20"/>
                <w:szCs w:val="22"/>
                <w:lang w:val="en-US" w:eastAsia="ko-KR"/>
              </w:rPr>
              <w:t xml:space="preserve"> </w:t>
            </w:r>
            <w:r w:rsidRPr="00885694">
              <w:rPr>
                <w:sz w:val="20"/>
                <w:szCs w:val="22"/>
                <w:lang w:eastAsia="ko-KR"/>
              </w:rPr>
              <w:t>%</w:t>
            </w:r>
          </w:p>
        </w:tc>
      </w:tr>
      <w:tr w:rsidR="005C0997" w14:paraId="06F2D169"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68174CC2"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60E8AA7B"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58E12220" w14:textId="77777777" w:rsidR="005C0997" w:rsidRPr="00885694" w:rsidRDefault="005C0997" w:rsidP="00C76E62">
            <w:pPr>
              <w:pStyle w:val="TAC"/>
              <w:rPr>
                <w:sz w:val="20"/>
                <w:szCs w:val="22"/>
                <w:lang w:eastAsia="ko-KR"/>
              </w:rPr>
            </w:pPr>
            <w:r w:rsidRPr="00885694">
              <w:rPr>
                <w:sz w:val="20"/>
                <w:szCs w:val="22"/>
                <w:lang w:eastAsia="ko-KR"/>
              </w:rPr>
              <w:t>60</w:t>
            </w:r>
          </w:p>
        </w:tc>
        <w:tc>
          <w:tcPr>
            <w:tcW w:w="929" w:type="pct"/>
            <w:tcBorders>
              <w:top w:val="single" w:sz="4" w:space="0" w:color="auto"/>
              <w:left w:val="single" w:sz="4" w:space="0" w:color="auto"/>
              <w:bottom w:val="single" w:sz="4" w:space="0" w:color="auto"/>
              <w:right w:val="single" w:sz="4" w:space="0" w:color="auto"/>
            </w:tcBorders>
            <w:hideMark/>
          </w:tcPr>
          <w:p w14:paraId="4FE6FF9D" w14:textId="77777777" w:rsidR="005C0997" w:rsidRPr="00885694" w:rsidRDefault="005C0997" w:rsidP="00C76E62">
            <w:pPr>
              <w:pStyle w:val="TAC"/>
              <w:rPr>
                <w:sz w:val="20"/>
                <w:szCs w:val="22"/>
                <w:lang w:eastAsia="ko-KR"/>
              </w:rPr>
            </w:pPr>
            <w:r w:rsidRPr="00885694">
              <w:rPr>
                <w:sz w:val="20"/>
                <w:szCs w:val="22"/>
                <w:lang w:eastAsia="ko-KR"/>
              </w:rPr>
              <w:t>7</w:t>
            </w:r>
          </w:p>
        </w:tc>
        <w:tc>
          <w:tcPr>
            <w:tcW w:w="928" w:type="pct"/>
            <w:tcBorders>
              <w:top w:val="single" w:sz="4" w:space="0" w:color="auto"/>
              <w:left w:val="single" w:sz="4" w:space="0" w:color="auto"/>
              <w:bottom w:val="single" w:sz="4" w:space="0" w:color="auto"/>
              <w:right w:val="single" w:sz="4" w:space="0" w:color="auto"/>
            </w:tcBorders>
            <w:vAlign w:val="bottom"/>
          </w:tcPr>
          <w:p w14:paraId="6BE909A4" w14:textId="77777777" w:rsidR="005C0997" w:rsidRPr="00885694" w:rsidRDefault="005C0997" w:rsidP="00C76E62">
            <w:pPr>
              <w:pStyle w:val="TAC"/>
              <w:rPr>
                <w:sz w:val="20"/>
                <w:szCs w:val="22"/>
                <w:lang w:eastAsia="ko-KR"/>
              </w:rPr>
            </w:pPr>
            <w:r w:rsidRPr="00885694">
              <w:rPr>
                <w:sz w:val="20"/>
                <w:szCs w:val="22"/>
                <w:lang w:eastAsia="ko-KR"/>
              </w:rPr>
              <w:t>0.7</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6623D016" w14:textId="77777777" w:rsidR="005C0997" w:rsidRPr="00885694" w:rsidRDefault="005C0997" w:rsidP="00C76E62">
            <w:pPr>
              <w:pStyle w:val="TAC"/>
              <w:rPr>
                <w:sz w:val="20"/>
                <w:szCs w:val="22"/>
                <w:lang w:eastAsia="ko-KR"/>
              </w:rPr>
            </w:pPr>
            <w:r w:rsidRPr="00885694">
              <w:rPr>
                <w:sz w:val="20"/>
                <w:szCs w:val="22"/>
                <w:lang w:eastAsia="ko-KR"/>
              </w:rPr>
              <w:t>19</w:t>
            </w:r>
            <w:r w:rsidRPr="00885694">
              <w:rPr>
                <w:sz w:val="20"/>
                <w:szCs w:val="22"/>
                <w:lang w:val="en-US" w:eastAsia="ko-KR"/>
              </w:rPr>
              <w:t xml:space="preserve"> </w:t>
            </w:r>
            <w:r w:rsidRPr="00885694">
              <w:rPr>
                <w:sz w:val="20"/>
                <w:szCs w:val="22"/>
                <w:lang w:eastAsia="ko-KR"/>
              </w:rPr>
              <w:t>%</w:t>
            </w:r>
          </w:p>
        </w:tc>
      </w:tr>
      <w:tr w:rsidR="005C0997" w14:paraId="3FFE6695" w14:textId="77777777" w:rsidTr="00C76E62">
        <w:trPr>
          <w:cantSplit/>
          <w:jc w:val="center"/>
        </w:trPr>
        <w:tc>
          <w:tcPr>
            <w:tcW w:w="651" w:type="pct"/>
            <w:vMerge w:val="restart"/>
            <w:tcBorders>
              <w:top w:val="single" w:sz="4" w:space="0" w:color="auto"/>
              <w:left w:val="single" w:sz="4" w:space="0" w:color="auto"/>
              <w:bottom w:val="single" w:sz="4" w:space="0" w:color="auto"/>
              <w:right w:val="single" w:sz="4" w:space="0" w:color="auto"/>
            </w:tcBorders>
            <w:vAlign w:val="center"/>
            <w:hideMark/>
          </w:tcPr>
          <w:p w14:paraId="2C584E76" w14:textId="77777777" w:rsidR="005C0997" w:rsidRPr="00885694" w:rsidRDefault="005C0997" w:rsidP="00C76E62">
            <w:pPr>
              <w:pStyle w:val="TAC"/>
              <w:rPr>
                <w:sz w:val="20"/>
                <w:szCs w:val="22"/>
                <w:lang w:eastAsia="ko-KR"/>
              </w:rPr>
            </w:pPr>
            <w:r w:rsidRPr="00885694">
              <w:rPr>
                <w:sz w:val="20"/>
                <w:szCs w:val="22"/>
                <w:lang w:eastAsia="ko-KR"/>
              </w:rPr>
              <w:t>2</w:t>
            </w: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52C6C9E0" w14:textId="77777777" w:rsidR="005C0997" w:rsidRPr="00885694" w:rsidRDefault="005C0997" w:rsidP="00C76E62">
            <w:pPr>
              <w:pStyle w:val="TAC"/>
              <w:rPr>
                <w:sz w:val="20"/>
                <w:szCs w:val="22"/>
                <w:lang w:eastAsia="ko-KR"/>
              </w:rPr>
            </w:pPr>
            <w:r w:rsidRPr="00885694">
              <w:rPr>
                <w:sz w:val="20"/>
                <w:szCs w:val="22"/>
                <w:lang w:eastAsia="ko-KR"/>
              </w:rPr>
              <w:t>120</w:t>
            </w:r>
          </w:p>
        </w:tc>
        <w:tc>
          <w:tcPr>
            <w:tcW w:w="782" w:type="pct"/>
            <w:tcBorders>
              <w:top w:val="single" w:sz="4" w:space="0" w:color="auto"/>
              <w:left w:val="single" w:sz="4" w:space="0" w:color="auto"/>
              <w:bottom w:val="single" w:sz="4" w:space="0" w:color="auto"/>
              <w:right w:val="single" w:sz="4" w:space="0" w:color="auto"/>
            </w:tcBorders>
            <w:hideMark/>
          </w:tcPr>
          <w:p w14:paraId="2F3B7B61" w14:textId="77777777" w:rsidR="005C0997" w:rsidRPr="00885694" w:rsidRDefault="005C0997" w:rsidP="00C76E62">
            <w:pPr>
              <w:pStyle w:val="TAC"/>
              <w:rPr>
                <w:sz w:val="20"/>
                <w:szCs w:val="22"/>
                <w:lang w:eastAsia="ko-KR"/>
              </w:rPr>
            </w:pPr>
            <w:r w:rsidRPr="00885694">
              <w:rPr>
                <w:sz w:val="20"/>
                <w:szCs w:val="22"/>
                <w:lang w:eastAsia="ko-KR"/>
              </w:rPr>
              <w:t>60</w:t>
            </w:r>
          </w:p>
        </w:tc>
        <w:tc>
          <w:tcPr>
            <w:tcW w:w="929" w:type="pct"/>
            <w:tcBorders>
              <w:top w:val="single" w:sz="4" w:space="0" w:color="auto"/>
              <w:left w:val="single" w:sz="4" w:space="0" w:color="auto"/>
              <w:bottom w:val="single" w:sz="4" w:space="0" w:color="auto"/>
              <w:right w:val="single" w:sz="4" w:space="0" w:color="auto"/>
            </w:tcBorders>
            <w:hideMark/>
          </w:tcPr>
          <w:p w14:paraId="17F90C63" w14:textId="77777777" w:rsidR="005C0997" w:rsidRPr="00885694" w:rsidRDefault="005C0997" w:rsidP="00C76E62">
            <w:pPr>
              <w:pStyle w:val="TAC"/>
              <w:rPr>
                <w:sz w:val="20"/>
                <w:szCs w:val="22"/>
                <w:lang w:eastAsia="ko-KR"/>
              </w:rPr>
            </w:pPr>
            <w:r w:rsidRPr="00885694">
              <w:rPr>
                <w:sz w:val="20"/>
                <w:szCs w:val="22"/>
                <w:lang w:eastAsia="ko-KR"/>
              </w:rPr>
              <w:t>3.5</w:t>
            </w:r>
          </w:p>
        </w:tc>
        <w:tc>
          <w:tcPr>
            <w:tcW w:w="928" w:type="pct"/>
            <w:tcBorders>
              <w:top w:val="single" w:sz="4" w:space="0" w:color="auto"/>
              <w:left w:val="single" w:sz="4" w:space="0" w:color="auto"/>
              <w:bottom w:val="single" w:sz="4" w:space="0" w:color="auto"/>
              <w:right w:val="single" w:sz="4" w:space="0" w:color="auto"/>
            </w:tcBorders>
            <w:vAlign w:val="bottom"/>
          </w:tcPr>
          <w:p w14:paraId="485CE4C4" w14:textId="77777777" w:rsidR="005C0997" w:rsidRPr="00885694" w:rsidRDefault="005C0997" w:rsidP="00C76E62">
            <w:pPr>
              <w:pStyle w:val="TAC"/>
              <w:rPr>
                <w:sz w:val="20"/>
                <w:szCs w:val="22"/>
                <w:lang w:eastAsia="ko-KR"/>
              </w:rPr>
            </w:pPr>
            <w:r w:rsidRPr="00885694">
              <w:rPr>
                <w:sz w:val="20"/>
                <w:szCs w:val="22"/>
                <w:lang w:eastAsia="ko-KR"/>
              </w:rPr>
              <w:t>1.4</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2EC112E3" w14:textId="77777777" w:rsidR="005C0997" w:rsidRPr="00885694" w:rsidRDefault="005C0997" w:rsidP="00C76E62">
            <w:pPr>
              <w:pStyle w:val="TAC"/>
              <w:rPr>
                <w:sz w:val="20"/>
                <w:szCs w:val="22"/>
                <w:lang w:eastAsia="ko-KR"/>
              </w:rPr>
            </w:pPr>
            <w:r w:rsidRPr="00885694">
              <w:rPr>
                <w:sz w:val="20"/>
                <w:szCs w:val="22"/>
                <w:lang w:eastAsia="ko-KR"/>
              </w:rPr>
              <w:t>10</w:t>
            </w:r>
            <w:r w:rsidRPr="00885694">
              <w:rPr>
                <w:sz w:val="20"/>
                <w:szCs w:val="22"/>
                <w:lang w:val="en-US" w:eastAsia="ko-KR"/>
              </w:rPr>
              <w:t xml:space="preserve"> </w:t>
            </w:r>
            <w:r w:rsidRPr="00885694">
              <w:rPr>
                <w:sz w:val="20"/>
                <w:szCs w:val="22"/>
                <w:lang w:eastAsia="ko-KR"/>
              </w:rPr>
              <w:t>%</w:t>
            </w:r>
          </w:p>
        </w:tc>
      </w:tr>
      <w:tr w:rsidR="005C0997" w14:paraId="02964494"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1DB22CFC"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577484A1"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2C110076" w14:textId="77777777" w:rsidR="005C0997" w:rsidRPr="00885694" w:rsidRDefault="005C0997" w:rsidP="00C76E62">
            <w:pPr>
              <w:pStyle w:val="TAC"/>
              <w:rPr>
                <w:sz w:val="20"/>
                <w:szCs w:val="22"/>
                <w:lang w:eastAsia="ko-KR"/>
              </w:rPr>
            </w:pPr>
            <w:r w:rsidRPr="00885694">
              <w:rPr>
                <w:sz w:val="20"/>
                <w:szCs w:val="22"/>
                <w:lang w:eastAsia="ko-KR"/>
              </w:rPr>
              <w:t>120</w:t>
            </w:r>
          </w:p>
        </w:tc>
        <w:tc>
          <w:tcPr>
            <w:tcW w:w="929" w:type="pct"/>
            <w:tcBorders>
              <w:top w:val="single" w:sz="4" w:space="0" w:color="auto"/>
              <w:left w:val="single" w:sz="4" w:space="0" w:color="auto"/>
              <w:bottom w:val="single" w:sz="4" w:space="0" w:color="auto"/>
              <w:right w:val="single" w:sz="4" w:space="0" w:color="auto"/>
            </w:tcBorders>
            <w:hideMark/>
          </w:tcPr>
          <w:p w14:paraId="234B7EE5" w14:textId="77777777" w:rsidR="005C0997" w:rsidRPr="00885694" w:rsidRDefault="005C0997" w:rsidP="00C76E62">
            <w:pPr>
              <w:pStyle w:val="TAC"/>
              <w:rPr>
                <w:sz w:val="20"/>
                <w:szCs w:val="22"/>
                <w:lang w:eastAsia="ko-KR"/>
              </w:rPr>
            </w:pPr>
            <w:r w:rsidRPr="00885694">
              <w:rPr>
                <w:sz w:val="20"/>
                <w:szCs w:val="22"/>
                <w:lang w:eastAsia="ko-KR"/>
              </w:rPr>
              <w:t>3.5</w:t>
            </w:r>
          </w:p>
        </w:tc>
        <w:tc>
          <w:tcPr>
            <w:tcW w:w="928" w:type="pct"/>
            <w:tcBorders>
              <w:top w:val="single" w:sz="4" w:space="0" w:color="auto"/>
              <w:left w:val="single" w:sz="4" w:space="0" w:color="auto"/>
              <w:bottom w:val="single" w:sz="4" w:space="0" w:color="auto"/>
              <w:right w:val="single" w:sz="4" w:space="0" w:color="auto"/>
            </w:tcBorders>
            <w:vAlign w:val="bottom"/>
          </w:tcPr>
          <w:p w14:paraId="224FCA5F" w14:textId="77777777" w:rsidR="005C0997" w:rsidRPr="00885694" w:rsidRDefault="005C0997" w:rsidP="00C76E62">
            <w:pPr>
              <w:pStyle w:val="TAC"/>
              <w:rPr>
                <w:sz w:val="20"/>
                <w:szCs w:val="22"/>
                <w:lang w:eastAsia="ko-KR"/>
              </w:rPr>
            </w:pPr>
            <w:r w:rsidRPr="00885694">
              <w:rPr>
                <w:sz w:val="20"/>
                <w:szCs w:val="22"/>
                <w:lang w:eastAsia="ko-KR"/>
              </w:rPr>
              <w:t>1.4</w:t>
            </w:r>
            <w:r w:rsidRPr="00885694">
              <w:rPr>
                <w:sz w:val="20"/>
                <w:szCs w:val="22"/>
                <w:lang w:val="en-US" w:eastAsia="ko-KR"/>
              </w:rPr>
              <w:t xml:space="preserve">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6A13544F" w14:textId="77777777" w:rsidR="005C0997" w:rsidRPr="00885694" w:rsidRDefault="005C0997" w:rsidP="00C76E62">
            <w:pPr>
              <w:pStyle w:val="TAC"/>
              <w:rPr>
                <w:sz w:val="20"/>
                <w:szCs w:val="22"/>
                <w:lang w:eastAsia="ko-KR"/>
              </w:rPr>
            </w:pPr>
            <w:r w:rsidRPr="00885694">
              <w:rPr>
                <w:sz w:val="20"/>
                <w:szCs w:val="22"/>
                <w:lang w:eastAsia="ko-KR"/>
              </w:rPr>
              <w:t>19</w:t>
            </w:r>
            <w:r w:rsidRPr="00885694">
              <w:rPr>
                <w:sz w:val="20"/>
                <w:szCs w:val="22"/>
                <w:lang w:val="en-US" w:eastAsia="ko-KR"/>
              </w:rPr>
              <w:t xml:space="preserve"> </w:t>
            </w:r>
            <w:r w:rsidRPr="00885694">
              <w:rPr>
                <w:sz w:val="20"/>
                <w:szCs w:val="22"/>
                <w:lang w:eastAsia="ko-KR"/>
              </w:rPr>
              <w:t>%</w:t>
            </w:r>
          </w:p>
        </w:tc>
      </w:tr>
      <w:tr w:rsidR="005C0997" w14:paraId="7B75F4EB"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59D18821" w14:textId="77777777" w:rsidR="005C0997" w:rsidRPr="00885694" w:rsidRDefault="005C0997" w:rsidP="00C76E62">
            <w:pPr>
              <w:spacing w:after="0"/>
              <w:rPr>
                <w:rFonts w:ascii="Arial" w:hAnsi="Arial"/>
                <w:szCs w:val="22"/>
                <w:lang w:val="en-GB" w:eastAsia="ko-KR"/>
              </w:rPr>
            </w:pP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566033D4" w14:textId="77777777" w:rsidR="005C0997" w:rsidRPr="00885694" w:rsidRDefault="005C0997" w:rsidP="00C76E62">
            <w:pPr>
              <w:pStyle w:val="TAC"/>
              <w:rPr>
                <w:sz w:val="20"/>
                <w:szCs w:val="22"/>
                <w:lang w:eastAsia="ko-KR"/>
              </w:rPr>
            </w:pPr>
            <w:r w:rsidRPr="00885694">
              <w:rPr>
                <w:sz w:val="20"/>
                <w:szCs w:val="22"/>
                <w:lang w:eastAsia="ko-KR"/>
              </w:rPr>
              <w:t>240</w:t>
            </w:r>
          </w:p>
        </w:tc>
        <w:tc>
          <w:tcPr>
            <w:tcW w:w="782" w:type="pct"/>
            <w:tcBorders>
              <w:top w:val="single" w:sz="4" w:space="0" w:color="auto"/>
              <w:left w:val="single" w:sz="4" w:space="0" w:color="auto"/>
              <w:bottom w:val="single" w:sz="4" w:space="0" w:color="auto"/>
              <w:right w:val="single" w:sz="4" w:space="0" w:color="auto"/>
            </w:tcBorders>
            <w:hideMark/>
          </w:tcPr>
          <w:p w14:paraId="43B134B1" w14:textId="77777777" w:rsidR="005C0997" w:rsidRPr="00885694" w:rsidRDefault="005C0997" w:rsidP="00C76E62">
            <w:pPr>
              <w:pStyle w:val="TAC"/>
              <w:rPr>
                <w:sz w:val="20"/>
                <w:szCs w:val="22"/>
                <w:lang w:eastAsia="ko-KR"/>
              </w:rPr>
            </w:pPr>
            <w:r w:rsidRPr="00885694">
              <w:rPr>
                <w:sz w:val="20"/>
                <w:szCs w:val="22"/>
                <w:lang w:eastAsia="ko-KR"/>
              </w:rPr>
              <w:t>60</w:t>
            </w:r>
          </w:p>
        </w:tc>
        <w:tc>
          <w:tcPr>
            <w:tcW w:w="929" w:type="pct"/>
            <w:tcBorders>
              <w:top w:val="single" w:sz="4" w:space="0" w:color="auto"/>
              <w:left w:val="single" w:sz="4" w:space="0" w:color="auto"/>
              <w:bottom w:val="single" w:sz="4" w:space="0" w:color="auto"/>
              <w:right w:val="single" w:sz="4" w:space="0" w:color="auto"/>
            </w:tcBorders>
            <w:hideMark/>
          </w:tcPr>
          <w:p w14:paraId="003F3AA1" w14:textId="77777777" w:rsidR="005C0997" w:rsidRPr="00885694" w:rsidRDefault="005C0997" w:rsidP="00C76E62">
            <w:pPr>
              <w:pStyle w:val="TAC"/>
              <w:rPr>
                <w:sz w:val="20"/>
                <w:szCs w:val="22"/>
                <w:lang w:eastAsia="ko-KR"/>
              </w:rPr>
            </w:pPr>
            <w:r w:rsidRPr="00885694">
              <w:rPr>
                <w:sz w:val="20"/>
                <w:szCs w:val="22"/>
                <w:lang w:eastAsia="ko-KR"/>
              </w:rPr>
              <w:t>3</w:t>
            </w:r>
          </w:p>
        </w:tc>
        <w:tc>
          <w:tcPr>
            <w:tcW w:w="928" w:type="pct"/>
            <w:tcBorders>
              <w:top w:val="single" w:sz="4" w:space="0" w:color="auto"/>
              <w:left w:val="single" w:sz="4" w:space="0" w:color="auto"/>
              <w:bottom w:val="single" w:sz="4" w:space="0" w:color="auto"/>
              <w:right w:val="single" w:sz="4" w:space="0" w:color="auto"/>
            </w:tcBorders>
            <w:vAlign w:val="bottom"/>
          </w:tcPr>
          <w:p w14:paraId="14B8DB2D" w14:textId="77777777" w:rsidR="005C0997" w:rsidRPr="00885694" w:rsidRDefault="005C0997" w:rsidP="00C76E62">
            <w:pPr>
              <w:pStyle w:val="TAC"/>
              <w:rPr>
                <w:sz w:val="20"/>
                <w:szCs w:val="22"/>
                <w:lang w:eastAsia="ko-KR"/>
              </w:rPr>
            </w:pPr>
            <w:r w:rsidRPr="00885694">
              <w:rPr>
                <w:sz w:val="20"/>
                <w:szCs w:val="22"/>
                <w:lang w:val="en-US" w:eastAsia="ko-KR"/>
              </w:rPr>
              <w:t>2</w:t>
            </w:r>
            <w:r w:rsidRPr="00885694">
              <w:rPr>
                <w:sz w:val="20"/>
                <w:szCs w:val="22"/>
                <w:lang w:eastAsia="ko-KR"/>
              </w:rPr>
              <w:t>.</w:t>
            </w:r>
            <w:r w:rsidRPr="00885694">
              <w:rPr>
                <w:sz w:val="20"/>
                <w:szCs w:val="22"/>
                <w:lang w:val="en-US" w:eastAsia="ko-KR"/>
              </w:rPr>
              <w:t xml:space="preserve">3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12BD1908" w14:textId="77777777" w:rsidR="005C0997" w:rsidRPr="00885694" w:rsidDel="00DE41A0" w:rsidRDefault="005C0997" w:rsidP="00C76E62">
            <w:pPr>
              <w:pStyle w:val="TAC"/>
              <w:rPr>
                <w:sz w:val="20"/>
                <w:szCs w:val="22"/>
                <w:lang w:val="en-US" w:eastAsia="ko-KR"/>
              </w:rPr>
            </w:pPr>
            <w:r w:rsidRPr="00885694">
              <w:rPr>
                <w:sz w:val="20"/>
                <w:szCs w:val="22"/>
                <w:lang w:eastAsia="ko-KR"/>
              </w:rPr>
              <w:t>8</w:t>
            </w:r>
            <w:r w:rsidRPr="00885694">
              <w:rPr>
                <w:sz w:val="20"/>
                <w:szCs w:val="22"/>
                <w:lang w:val="en-US" w:eastAsia="ko-KR"/>
              </w:rPr>
              <w:t xml:space="preserve"> </w:t>
            </w:r>
            <w:r w:rsidRPr="00885694">
              <w:rPr>
                <w:sz w:val="20"/>
                <w:szCs w:val="22"/>
                <w:lang w:eastAsia="ko-KR"/>
              </w:rPr>
              <w:t>%</w:t>
            </w:r>
          </w:p>
        </w:tc>
      </w:tr>
      <w:tr w:rsidR="005C0997" w14:paraId="74E37012" w14:textId="77777777" w:rsidTr="00C76E62">
        <w:trPr>
          <w:cantSplit/>
          <w:jc w:val="center"/>
        </w:trPr>
        <w:tc>
          <w:tcPr>
            <w:tcW w:w="651" w:type="pct"/>
            <w:vMerge/>
            <w:tcBorders>
              <w:top w:val="single" w:sz="4" w:space="0" w:color="auto"/>
              <w:left w:val="single" w:sz="4" w:space="0" w:color="auto"/>
              <w:bottom w:val="single" w:sz="4" w:space="0" w:color="auto"/>
              <w:right w:val="single" w:sz="4" w:space="0" w:color="auto"/>
            </w:tcBorders>
            <w:vAlign w:val="center"/>
            <w:hideMark/>
          </w:tcPr>
          <w:p w14:paraId="7741C36D" w14:textId="77777777" w:rsidR="005C0997" w:rsidRPr="00885694" w:rsidRDefault="005C0997" w:rsidP="00C76E62">
            <w:pPr>
              <w:spacing w:after="0"/>
              <w:rPr>
                <w:rFonts w:ascii="Arial" w:hAnsi="Arial"/>
                <w:szCs w:val="22"/>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30F319C5" w14:textId="77777777" w:rsidR="005C0997" w:rsidRPr="00885694" w:rsidRDefault="005C0997" w:rsidP="00C76E62">
            <w:pPr>
              <w:spacing w:after="0"/>
              <w:rPr>
                <w:rFonts w:ascii="Arial" w:hAnsi="Arial"/>
                <w:szCs w:val="22"/>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79306711" w14:textId="77777777" w:rsidR="005C0997" w:rsidRPr="00885694" w:rsidRDefault="005C0997" w:rsidP="00C76E62">
            <w:pPr>
              <w:pStyle w:val="TAC"/>
              <w:rPr>
                <w:sz w:val="20"/>
                <w:szCs w:val="22"/>
                <w:lang w:eastAsia="ko-KR"/>
              </w:rPr>
            </w:pPr>
            <w:r w:rsidRPr="00885694">
              <w:rPr>
                <w:sz w:val="20"/>
                <w:szCs w:val="22"/>
                <w:lang w:eastAsia="ko-KR"/>
              </w:rPr>
              <w:t>120</w:t>
            </w:r>
          </w:p>
        </w:tc>
        <w:tc>
          <w:tcPr>
            <w:tcW w:w="929" w:type="pct"/>
            <w:tcBorders>
              <w:top w:val="single" w:sz="4" w:space="0" w:color="auto"/>
              <w:left w:val="single" w:sz="4" w:space="0" w:color="auto"/>
              <w:bottom w:val="single" w:sz="4" w:space="0" w:color="auto"/>
              <w:right w:val="single" w:sz="4" w:space="0" w:color="auto"/>
            </w:tcBorders>
            <w:hideMark/>
          </w:tcPr>
          <w:p w14:paraId="50EEE279" w14:textId="77777777" w:rsidR="005C0997" w:rsidRPr="00885694" w:rsidRDefault="005C0997" w:rsidP="00C76E62">
            <w:pPr>
              <w:pStyle w:val="TAC"/>
              <w:rPr>
                <w:sz w:val="20"/>
                <w:szCs w:val="22"/>
                <w:lang w:eastAsia="ko-KR"/>
              </w:rPr>
            </w:pPr>
            <w:r w:rsidRPr="00885694">
              <w:rPr>
                <w:sz w:val="20"/>
                <w:szCs w:val="22"/>
                <w:lang w:eastAsia="ko-KR"/>
              </w:rPr>
              <w:t>3</w:t>
            </w:r>
          </w:p>
        </w:tc>
        <w:tc>
          <w:tcPr>
            <w:tcW w:w="928" w:type="pct"/>
            <w:tcBorders>
              <w:top w:val="single" w:sz="4" w:space="0" w:color="auto"/>
              <w:left w:val="single" w:sz="4" w:space="0" w:color="auto"/>
              <w:bottom w:val="single" w:sz="4" w:space="0" w:color="auto"/>
              <w:right w:val="single" w:sz="4" w:space="0" w:color="auto"/>
            </w:tcBorders>
            <w:vAlign w:val="bottom"/>
          </w:tcPr>
          <w:p w14:paraId="777319FD" w14:textId="77777777" w:rsidR="005C0997" w:rsidRPr="00885694" w:rsidRDefault="005C0997" w:rsidP="00C76E62">
            <w:pPr>
              <w:pStyle w:val="TAC"/>
              <w:rPr>
                <w:sz w:val="20"/>
                <w:szCs w:val="22"/>
                <w:lang w:eastAsia="ko-KR"/>
              </w:rPr>
            </w:pPr>
            <w:r w:rsidRPr="00885694">
              <w:rPr>
                <w:sz w:val="20"/>
                <w:szCs w:val="22"/>
                <w:lang w:val="en-US" w:eastAsia="ko-KR"/>
              </w:rPr>
              <w:t>2</w:t>
            </w:r>
            <w:r w:rsidRPr="00885694">
              <w:rPr>
                <w:sz w:val="20"/>
                <w:szCs w:val="22"/>
                <w:lang w:eastAsia="ko-KR"/>
              </w:rPr>
              <w:t>.</w:t>
            </w:r>
            <w:r w:rsidRPr="00885694">
              <w:rPr>
                <w:sz w:val="20"/>
                <w:szCs w:val="22"/>
                <w:lang w:val="en-US" w:eastAsia="ko-KR"/>
              </w:rPr>
              <w:t xml:space="preserve">3 </w:t>
            </w:r>
            <w:r w:rsidRPr="00885694">
              <w:rPr>
                <w:sz w:val="20"/>
                <w:szCs w:val="22"/>
                <w:lang w:eastAsia="ko-KR"/>
              </w:rPr>
              <w:t>%</w:t>
            </w:r>
          </w:p>
        </w:tc>
        <w:tc>
          <w:tcPr>
            <w:tcW w:w="927" w:type="pct"/>
            <w:tcBorders>
              <w:top w:val="single" w:sz="4" w:space="0" w:color="auto"/>
              <w:left w:val="single" w:sz="4" w:space="0" w:color="auto"/>
              <w:bottom w:val="single" w:sz="4" w:space="0" w:color="auto"/>
              <w:right w:val="single" w:sz="4" w:space="0" w:color="auto"/>
            </w:tcBorders>
            <w:vAlign w:val="bottom"/>
          </w:tcPr>
          <w:p w14:paraId="15B8FD8B" w14:textId="77777777" w:rsidR="005C0997" w:rsidRPr="00885694" w:rsidDel="00DE41A0" w:rsidRDefault="005C0997" w:rsidP="00C76E62">
            <w:pPr>
              <w:pStyle w:val="TAC"/>
              <w:rPr>
                <w:sz w:val="20"/>
                <w:szCs w:val="22"/>
                <w:lang w:eastAsia="ko-KR"/>
              </w:rPr>
            </w:pPr>
            <w:r w:rsidRPr="00885694">
              <w:rPr>
                <w:sz w:val="20"/>
                <w:szCs w:val="22"/>
                <w:lang w:eastAsia="ko-KR"/>
              </w:rPr>
              <w:t>17</w:t>
            </w:r>
            <w:r w:rsidRPr="00885694">
              <w:rPr>
                <w:sz w:val="20"/>
                <w:szCs w:val="22"/>
                <w:lang w:val="en-US" w:eastAsia="ko-KR"/>
              </w:rPr>
              <w:t xml:space="preserve"> </w:t>
            </w:r>
            <w:r w:rsidRPr="00885694">
              <w:rPr>
                <w:sz w:val="20"/>
                <w:szCs w:val="22"/>
                <w:lang w:eastAsia="ko-KR"/>
              </w:rPr>
              <w:t>%</w:t>
            </w:r>
          </w:p>
        </w:tc>
      </w:tr>
    </w:tbl>
    <w:p w14:paraId="544F53AE" w14:textId="77777777" w:rsidR="005C0997" w:rsidRDefault="005C0997" w:rsidP="005C0997">
      <w:pPr>
        <w:pStyle w:val="BodyText"/>
      </w:pPr>
    </w:p>
    <w:p w14:paraId="024A1ED8" w14:textId="77777777" w:rsidR="005C0997" w:rsidRDefault="005C0997" w:rsidP="005C0997">
      <w:pPr>
        <w:pStyle w:val="BodyText"/>
      </w:pPr>
      <w:r>
        <w:t xml:space="preserve">From the table we can make the following observations: </w:t>
      </w:r>
    </w:p>
    <w:p w14:paraId="708DF5C5" w14:textId="77777777" w:rsidR="005C0997" w:rsidRDefault="005C0997" w:rsidP="004829CE">
      <w:pPr>
        <w:pStyle w:val="BodyText"/>
        <w:numPr>
          <w:ilvl w:val="0"/>
          <w:numId w:val="15"/>
        </w:numPr>
      </w:pPr>
      <w:r>
        <w:t xml:space="preserve">For FR1, the timing error requirement </w:t>
      </w:r>
      <w:proofErr w:type="spellStart"/>
      <w:r>
        <w:t>T</w:t>
      </w:r>
      <w:r w:rsidRPr="0035235B">
        <w:rPr>
          <w:vertAlign w:val="subscript"/>
        </w:rPr>
        <w:t>e</w:t>
      </w:r>
      <w:proofErr w:type="spellEnd"/>
      <w:r>
        <w:t xml:space="preserve"> scales with 1/</w:t>
      </w:r>
      <w:r w:rsidRPr="00F30C07">
        <w:t>SCS</w:t>
      </w:r>
      <w:r w:rsidRPr="0017761B">
        <w:rPr>
          <w:vertAlign w:val="subscript"/>
        </w:rPr>
        <w:t>SSB</w:t>
      </w:r>
      <w:r>
        <w:t xml:space="preserve"> as expected, but this is not the case for FR2. </w:t>
      </w:r>
    </w:p>
    <w:p w14:paraId="111A7458" w14:textId="365BE76F" w:rsidR="005C0997" w:rsidRDefault="005C0997" w:rsidP="004829CE">
      <w:pPr>
        <w:pStyle w:val="BodyText"/>
        <w:numPr>
          <w:ilvl w:val="0"/>
          <w:numId w:val="15"/>
        </w:numPr>
      </w:pPr>
      <w:r>
        <w:t>The error is in general below 20% of the UL CP, except for the case of 15kHz SSB and 60kHz UL</w:t>
      </w:r>
      <w:r w:rsidR="00295AC6">
        <w:t>.</w:t>
      </w:r>
    </w:p>
    <w:p w14:paraId="3EEDFC0E" w14:textId="77777777" w:rsidR="005C0997" w:rsidRDefault="005C0997" w:rsidP="004829CE">
      <w:pPr>
        <w:pStyle w:val="BodyText"/>
        <w:numPr>
          <w:ilvl w:val="0"/>
          <w:numId w:val="15"/>
        </w:numPr>
      </w:pPr>
      <w:r>
        <w:t>The error is always larger than 0.5% of 1/</w:t>
      </w:r>
      <w:r w:rsidRPr="00F30C07">
        <w:t>SCS</w:t>
      </w:r>
      <w:r w:rsidRPr="0017761B">
        <w:rPr>
          <w:vertAlign w:val="subscript"/>
        </w:rPr>
        <w:t>SSB</w:t>
      </w:r>
      <w:r>
        <w:t xml:space="preserve">  </w:t>
      </w:r>
    </w:p>
    <w:p w14:paraId="4AEB85BE" w14:textId="77777777" w:rsidR="005C0997" w:rsidRDefault="005C0997" w:rsidP="005C0997">
      <w:pPr>
        <w:pStyle w:val="BodyText"/>
      </w:pPr>
      <w:r>
        <w:t xml:space="preserve">According to our understanding, the reason that the timing error requirement </w:t>
      </w:r>
      <w:proofErr w:type="spellStart"/>
      <w:r>
        <w:t>T</w:t>
      </w:r>
      <w:r w:rsidRPr="0017761B">
        <w:rPr>
          <w:vertAlign w:val="subscript"/>
        </w:rPr>
        <w:t>e</w:t>
      </w:r>
      <w:proofErr w:type="spellEnd"/>
      <w:r>
        <w:t xml:space="preserve"> doesn’t scale for FR2 is that due to UE internal interfaces there are limits on how accurately the UL timing can be set. For FR2, this limit dominates over the UE’s ability to estimate the timing, thus the error saturates at around 3 Ts.</w:t>
      </w:r>
    </w:p>
    <w:p w14:paraId="4876B000" w14:textId="7ECA642A" w:rsidR="005C0997" w:rsidRDefault="00E91C23" w:rsidP="005C0997">
      <w:pPr>
        <w:pStyle w:val="BodyText"/>
      </w:pPr>
      <w:r>
        <w:t>Next,</w:t>
      </w:r>
      <w:r w:rsidR="005C0997">
        <w:t xml:space="preserve"> we try to extrapolate the requirements to the 52.6-71 GHz range under the assumption that the error should be less than 20% of the UL CP.</w:t>
      </w:r>
    </w:p>
    <w:p w14:paraId="0C4AD202" w14:textId="0B11762E" w:rsidR="005C0997" w:rsidRPr="00F676BA" w:rsidRDefault="005C0997" w:rsidP="005C0997">
      <w:pPr>
        <w:pStyle w:val="TF"/>
        <w:keepLines w:val="0"/>
        <w:rPr>
          <w:lang w:val="en-US"/>
        </w:rPr>
      </w:pPr>
      <w:bookmarkStart w:id="162" w:name="_Ref53051254"/>
      <w:r w:rsidRPr="00F676BA">
        <w:rPr>
          <w:lang w:val="en-US"/>
        </w:rPr>
        <w:t xml:space="preserve">Figure </w:t>
      </w:r>
      <w:r w:rsidR="00100248">
        <w:fldChar w:fldCharType="begin"/>
      </w:r>
      <w:r w:rsidR="00100248">
        <w:instrText xml:space="preserve"> SEQ Figure \* ARABIC </w:instrText>
      </w:r>
      <w:r w:rsidR="00100248">
        <w:fldChar w:fldCharType="separate"/>
      </w:r>
      <w:r w:rsidR="00BE31F7">
        <w:rPr>
          <w:noProof/>
        </w:rPr>
        <w:t>30</w:t>
      </w:r>
      <w:r w:rsidR="00100248">
        <w:rPr>
          <w:noProof/>
        </w:rPr>
        <w:fldChar w:fldCharType="end"/>
      </w:r>
      <w:bookmarkEnd w:id="162"/>
      <w:r w:rsidRPr="00932E91">
        <w:t xml:space="preserve">: </w:t>
      </w:r>
      <w:r>
        <w:t>Extrapolated initial UL timing error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1508"/>
        <w:gridCol w:w="1506"/>
        <w:gridCol w:w="1789"/>
        <w:gridCol w:w="1787"/>
        <w:gridCol w:w="1785"/>
      </w:tblGrid>
      <w:tr w:rsidR="005C0997" w14:paraId="43D505DD" w14:textId="77777777" w:rsidTr="00C76E62">
        <w:trPr>
          <w:cantSplit/>
          <w:jc w:val="center"/>
        </w:trPr>
        <w:tc>
          <w:tcPr>
            <w:tcW w:w="651" w:type="pct"/>
            <w:tcBorders>
              <w:top w:val="single" w:sz="4" w:space="0" w:color="auto"/>
              <w:left w:val="single" w:sz="4" w:space="0" w:color="auto"/>
              <w:bottom w:val="single" w:sz="4" w:space="0" w:color="auto"/>
              <w:right w:val="single" w:sz="4" w:space="0" w:color="auto"/>
            </w:tcBorders>
            <w:vAlign w:val="center"/>
            <w:hideMark/>
          </w:tcPr>
          <w:p w14:paraId="2D6760AF" w14:textId="77777777" w:rsidR="005C0997" w:rsidRDefault="005C0997" w:rsidP="00C76E62">
            <w:pPr>
              <w:keepNext/>
              <w:keepLines/>
              <w:spacing w:after="0"/>
              <w:jc w:val="center"/>
              <w:rPr>
                <w:lang w:eastAsia="ko-KR"/>
              </w:rPr>
            </w:pPr>
            <w:r>
              <w:rPr>
                <w:rFonts w:ascii="Arial" w:hAnsi="Arial"/>
                <w:b/>
                <w:sz w:val="18"/>
                <w:lang w:eastAsia="ko-KR"/>
              </w:rPr>
              <w:t xml:space="preserve">Frequency Range </w:t>
            </w:r>
          </w:p>
        </w:tc>
        <w:tc>
          <w:tcPr>
            <w:tcW w:w="783" w:type="pct"/>
            <w:tcBorders>
              <w:top w:val="single" w:sz="4" w:space="0" w:color="auto"/>
              <w:left w:val="single" w:sz="4" w:space="0" w:color="auto"/>
              <w:bottom w:val="single" w:sz="4" w:space="0" w:color="auto"/>
              <w:right w:val="single" w:sz="4" w:space="0" w:color="auto"/>
            </w:tcBorders>
            <w:vAlign w:val="center"/>
            <w:hideMark/>
          </w:tcPr>
          <w:p w14:paraId="71F4D7C3" w14:textId="77777777" w:rsidR="005C0997" w:rsidRDefault="005C0997" w:rsidP="00C76E62">
            <w:pPr>
              <w:keepNext/>
              <w:keepLines/>
              <w:spacing w:after="0"/>
              <w:jc w:val="center"/>
              <w:rPr>
                <w:lang w:eastAsia="ko-KR"/>
              </w:rPr>
            </w:pPr>
            <w:r>
              <w:rPr>
                <w:rFonts w:ascii="Arial" w:hAnsi="Arial"/>
                <w:b/>
                <w:sz w:val="18"/>
                <w:lang w:eastAsia="ko-KR"/>
              </w:rPr>
              <w:t>SCS of SSB signals (kHz)</w:t>
            </w:r>
          </w:p>
        </w:tc>
        <w:tc>
          <w:tcPr>
            <w:tcW w:w="782" w:type="pct"/>
            <w:tcBorders>
              <w:top w:val="single" w:sz="4" w:space="0" w:color="auto"/>
              <w:left w:val="single" w:sz="4" w:space="0" w:color="auto"/>
              <w:bottom w:val="single" w:sz="4" w:space="0" w:color="auto"/>
              <w:right w:val="single" w:sz="4" w:space="0" w:color="auto"/>
            </w:tcBorders>
            <w:vAlign w:val="center"/>
            <w:hideMark/>
          </w:tcPr>
          <w:p w14:paraId="59064AE6" w14:textId="77777777" w:rsidR="005C0997" w:rsidRDefault="005C0997" w:rsidP="00C76E62">
            <w:pPr>
              <w:keepNext/>
              <w:keepLines/>
              <w:spacing w:after="0"/>
              <w:jc w:val="center"/>
              <w:rPr>
                <w:lang w:eastAsia="ko-KR"/>
              </w:rPr>
            </w:pPr>
            <w:r>
              <w:rPr>
                <w:rFonts w:ascii="Arial" w:hAnsi="Arial"/>
                <w:b/>
                <w:sz w:val="18"/>
                <w:lang w:eastAsia="ko-KR"/>
              </w:rPr>
              <w:t>SCS of uplink signals (kHz)</w:t>
            </w:r>
          </w:p>
        </w:tc>
        <w:tc>
          <w:tcPr>
            <w:tcW w:w="929" w:type="pct"/>
            <w:tcBorders>
              <w:top w:val="single" w:sz="4" w:space="0" w:color="auto"/>
              <w:left w:val="single" w:sz="4" w:space="0" w:color="auto"/>
              <w:bottom w:val="single" w:sz="4" w:space="0" w:color="auto"/>
              <w:right w:val="single" w:sz="4" w:space="0" w:color="auto"/>
            </w:tcBorders>
            <w:vAlign w:val="center"/>
            <w:hideMark/>
          </w:tcPr>
          <w:p w14:paraId="61744B85" w14:textId="77777777" w:rsidR="005C0997" w:rsidRDefault="005C0997" w:rsidP="00C76E62">
            <w:pPr>
              <w:keepNext/>
              <w:keepLines/>
              <w:spacing w:after="0"/>
              <w:jc w:val="center"/>
              <w:rPr>
                <w:lang w:eastAsia="ko-KR"/>
              </w:rPr>
            </w:pPr>
            <w:proofErr w:type="spellStart"/>
            <w:r>
              <w:rPr>
                <w:rFonts w:ascii="Arial" w:hAnsi="Arial"/>
                <w:b/>
                <w:sz w:val="18"/>
                <w:lang w:eastAsia="ko-KR"/>
              </w:rPr>
              <w:t>T</w:t>
            </w:r>
            <w:r>
              <w:rPr>
                <w:rFonts w:ascii="Arial" w:hAnsi="Arial"/>
                <w:b/>
                <w:sz w:val="18"/>
                <w:vertAlign w:val="subscript"/>
                <w:lang w:eastAsia="ko-KR"/>
              </w:rPr>
              <w:t>e</w:t>
            </w:r>
            <w:proofErr w:type="spellEnd"/>
            <w:r>
              <w:rPr>
                <w:rFonts w:ascii="Arial" w:hAnsi="Arial"/>
                <w:b/>
                <w:sz w:val="18"/>
                <w:vertAlign w:val="subscript"/>
                <w:lang w:eastAsia="ko-KR"/>
              </w:rPr>
              <w:t xml:space="preserve"> </w:t>
            </w:r>
            <w:r>
              <w:rPr>
                <w:rFonts w:ascii="Arial" w:hAnsi="Arial"/>
                <w:b/>
                <w:sz w:val="18"/>
                <w:vertAlign w:val="subscript"/>
                <w:lang w:eastAsia="ko-KR"/>
              </w:rPr>
              <w:br/>
            </w:r>
            <w:r>
              <w:rPr>
                <w:rFonts w:ascii="Arial" w:hAnsi="Arial"/>
                <w:b/>
                <w:sz w:val="16"/>
                <w:szCs w:val="18"/>
                <w:lang w:eastAsia="ko-KR"/>
              </w:rPr>
              <w:t>(</w:t>
            </w:r>
            <w:r w:rsidRPr="00932E91">
              <w:rPr>
                <w:rFonts w:ascii="Arial" w:hAnsi="Arial"/>
                <w:b/>
                <w:sz w:val="16"/>
                <w:szCs w:val="18"/>
                <w:lang w:eastAsia="ko-KR"/>
              </w:rPr>
              <w:t>Ts=64Tc</w:t>
            </w:r>
            <w:r>
              <w:rPr>
                <w:rFonts w:ascii="Arial" w:hAnsi="Arial"/>
                <w:b/>
                <w:sz w:val="16"/>
                <w:szCs w:val="18"/>
                <w:lang w:eastAsia="ko-KR"/>
              </w:rPr>
              <w:t>)</w:t>
            </w:r>
          </w:p>
        </w:tc>
        <w:tc>
          <w:tcPr>
            <w:tcW w:w="928" w:type="pct"/>
            <w:tcBorders>
              <w:top w:val="single" w:sz="4" w:space="0" w:color="auto"/>
              <w:left w:val="single" w:sz="4" w:space="0" w:color="auto"/>
              <w:bottom w:val="single" w:sz="4" w:space="0" w:color="auto"/>
              <w:right w:val="single" w:sz="4" w:space="0" w:color="auto"/>
            </w:tcBorders>
          </w:tcPr>
          <w:p w14:paraId="458211B8" w14:textId="77777777" w:rsidR="005C0997" w:rsidRDefault="005C0997" w:rsidP="00C76E62">
            <w:pPr>
              <w:keepNext/>
              <w:keepLines/>
              <w:spacing w:after="0"/>
              <w:jc w:val="center"/>
              <w:rPr>
                <w:rFonts w:ascii="Arial" w:hAnsi="Arial"/>
                <w:b/>
                <w:sz w:val="18"/>
                <w:lang w:eastAsia="ko-KR"/>
              </w:rPr>
            </w:pPr>
            <w:r>
              <w:rPr>
                <w:rFonts w:ascii="Arial" w:hAnsi="Arial"/>
                <w:b/>
                <w:sz w:val="18"/>
                <w:lang w:eastAsia="ko-KR"/>
              </w:rPr>
              <w:t xml:space="preserve">Percent of </w:t>
            </w:r>
            <w:r>
              <w:rPr>
                <w:rFonts w:ascii="Arial" w:hAnsi="Arial"/>
                <w:b/>
                <w:sz w:val="18"/>
                <w:lang w:eastAsia="ko-KR"/>
              </w:rPr>
              <w:br/>
              <w:t>1/SCS</w:t>
            </w:r>
            <w:r w:rsidRPr="0017761B">
              <w:rPr>
                <w:rFonts w:ascii="Arial" w:hAnsi="Arial"/>
                <w:b/>
                <w:sz w:val="18"/>
                <w:vertAlign w:val="subscript"/>
                <w:lang w:eastAsia="ko-KR"/>
              </w:rPr>
              <w:t>SSB</w:t>
            </w:r>
          </w:p>
        </w:tc>
        <w:tc>
          <w:tcPr>
            <w:tcW w:w="927" w:type="pct"/>
            <w:tcBorders>
              <w:top w:val="single" w:sz="4" w:space="0" w:color="auto"/>
              <w:left w:val="single" w:sz="4" w:space="0" w:color="auto"/>
              <w:bottom w:val="single" w:sz="4" w:space="0" w:color="auto"/>
              <w:right w:val="single" w:sz="4" w:space="0" w:color="auto"/>
            </w:tcBorders>
          </w:tcPr>
          <w:p w14:paraId="29EEA8F8" w14:textId="77777777" w:rsidR="005C0997" w:rsidRDefault="005C0997" w:rsidP="00C76E62">
            <w:pPr>
              <w:keepNext/>
              <w:keepLines/>
              <w:spacing w:after="0"/>
              <w:jc w:val="center"/>
              <w:rPr>
                <w:rFonts w:ascii="Arial" w:hAnsi="Arial"/>
                <w:b/>
                <w:sz w:val="18"/>
                <w:lang w:eastAsia="ko-KR"/>
              </w:rPr>
            </w:pPr>
            <w:r>
              <w:rPr>
                <w:rFonts w:ascii="Arial" w:hAnsi="Arial"/>
                <w:b/>
                <w:sz w:val="18"/>
                <w:lang w:eastAsia="ko-KR"/>
              </w:rPr>
              <w:t xml:space="preserve">Percent of </w:t>
            </w:r>
            <w:r>
              <w:rPr>
                <w:rFonts w:ascii="Arial" w:hAnsi="Arial"/>
                <w:b/>
                <w:sz w:val="18"/>
                <w:lang w:eastAsia="ko-KR"/>
              </w:rPr>
              <w:br/>
              <w:t>UL CP</w:t>
            </w:r>
          </w:p>
        </w:tc>
      </w:tr>
      <w:tr w:rsidR="005C0997" w14:paraId="27A6121D" w14:textId="77777777" w:rsidTr="00C76E62">
        <w:trPr>
          <w:cantSplit/>
          <w:jc w:val="center"/>
        </w:trPr>
        <w:tc>
          <w:tcPr>
            <w:tcW w:w="651" w:type="pct"/>
            <w:vMerge w:val="restart"/>
            <w:tcBorders>
              <w:top w:val="single" w:sz="4" w:space="0" w:color="auto"/>
              <w:left w:val="single" w:sz="4" w:space="0" w:color="auto"/>
              <w:right w:val="single" w:sz="4" w:space="0" w:color="auto"/>
            </w:tcBorders>
            <w:vAlign w:val="center"/>
            <w:hideMark/>
          </w:tcPr>
          <w:p w14:paraId="5E4ECBF8" w14:textId="77777777" w:rsidR="005C0997" w:rsidRPr="00A14B11" w:rsidRDefault="005C0997" w:rsidP="00C76E62">
            <w:pPr>
              <w:pStyle w:val="TAC"/>
              <w:rPr>
                <w:lang w:val="en-US" w:eastAsia="ko-KR"/>
              </w:rPr>
            </w:pPr>
            <w:r>
              <w:rPr>
                <w:lang w:val="en-US" w:eastAsia="ko-KR"/>
              </w:rPr>
              <w:t>52.6-71 GHz</w:t>
            </w: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0FF3DD63" w14:textId="77777777" w:rsidR="005C0997" w:rsidRPr="00A14B11" w:rsidRDefault="005C0997" w:rsidP="00C76E62">
            <w:pPr>
              <w:pStyle w:val="TAC"/>
              <w:rPr>
                <w:lang w:val="en-US" w:eastAsia="ko-KR"/>
              </w:rPr>
            </w:pPr>
            <w:r>
              <w:rPr>
                <w:lang w:val="en-US" w:eastAsia="ko-KR"/>
              </w:rPr>
              <w:t>120</w:t>
            </w:r>
          </w:p>
        </w:tc>
        <w:tc>
          <w:tcPr>
            <w:tcW w:w="782" w:type="pct"/>
            <w:tcBorders>
              <w:top w:val="single" w:sz="4" w:space="0" w:color="auto"/>
              <w:left w:val="single" w:sz="4" w:space="0" w:color="auto"/>
              <w:bottom w:val="single" w:sz="4" w:space="0" w:color="auto"/>
              <w:right w:val="single" w:sz="4" w:space="0" w:color="auto"/>
            </w:tcBorders>
            <w:hideMark/>
          </w:tcPr>
          <w:p w14:paraId="1980CED9" w14:textId="77777777" w:rsidR="005C0997" w:rsidRPr="00A14B11" w:rsidRDefault="005C0997" w:rsidP="00C76E62">
            <w:pPr>
              <w:pStyle w:val="TAC"/>
              <w:rPr>
                <w:lang w:val="en-US" w:eastAsia="ko-KR"/>
              </w:rPr>
            </w:pPr>
            <w:r>
              <w:rPr>
                <w:lang w:val="en-US" w:eastAsia="ko-KR"/>
              </w:rPr>
              <w:t>240</w:t>
            </w:r>
          </w:p>
        </w:tc>
        <w:tc>
          <w:tcPr>
            <w:tcW w:w="929" w:type="pct"/>
            <w:tcBorders>
              <w:top w:val="single" w:sz="4" w:space="0" w:color="auto"/>
              <w:left w:val="single" w:sz="4" w:space="0" w:color="auto"/>
              <w:bottom w:val="single" w:sz="4" w:space="0" w:color="auto"/>
              <w:right w:val="single" w:sz="4" w:space="0" w:color="auto"/>
            </w:tcBorders>
            <w:vAlign w:val="bottom"/>
          </w:tcPr>
          <w:p w14:paraId="7D8C10ED" w14:textId="77777777" w:rsidR="005C0997" w:rsidRPr="00A14B11" w:rsidRDefault="005C0997" w:rsidP="00C76E62">
            <w:pPr>
              <w:pStyle w:val="TAC"/>
              <w:rPr>
                <w:lang w:val="en-US" w:eastAsia="ko-KR"/>
              </w:rPr>
            </w:pPr>
            <w:r w:rsidRPr="00A14B11">
              <w:rPr>
                <w:lang w:val="en-US" w:eastAsia="ko-KR"/>
              </w:rPr>
              <w:t>1</w:t>
            </w:r>
            <w:r>
              <w:rPr>
                <w:lang w:val="en-US" w:eastAsia="ko-KR"/>
              </w:rPr>
              <w:t>.</w:t>
            </w:r>
            <w:r w:rsidRPr="00A14B11">
              <w:rPr>
                <w:lang w:val="en-US" w:eastAsia="ko-KR"/>
              </w:rPr>
              <w:t>8</w:t>
            </w:r>
          </w:p>
        </w:tc>
        <w:tc>
          <w:tcPr>
            <w:tcW w:w="928" w:type="pct"/>
            <w:tcBorders>
              <w:top w:val="single" w:sz="4" w:space="0" w:color="auto"/>
              <w:left w:val="single" w:sz="4" w:space="0" w:color="auto"/>
              <w:bottom w:val="single" w:sz="4" w:space="0" w:color="auto"/>
              <w:right w:val="single" w:sz="4" w:space="0" w:color="auto"/>
            </w:tcBorders>
            <w:vAlign w:val="bottom"/>
          </w:tcPr>
          <w:p w14:paraId="017259D9" w14:textId="77777777" w:rsidR="005C0997" w:rsidRPr="00A14B11" w:rsidRDefault="005C0997" w:rsidP="00C76E62">
            <w:pPr>
              <w:pStyle w:val="TAC"/>
              <w:rPr>
                <w:lang w:val="en-US" w:eastAsia="ko-KR"/>
              </w:rPr>
            </w:pPr>
            <w:r w:rsidRPr="00A14B11">
              <w:rPr>
                <w:highlight w:val="green"/>
                <w:lang w:val="en-US" w:eastAsia="ko-KR"/>
              </w:rPr>
              <w:t>0</w:t>
            </w:r>
            <w:r>
              <w:rPr>
                <w:highlight w:val="green"/>
                <w:lang w:val="en-US" w:eastAsia="ko-KR"/>
              </w:rPr>
              <w:t>.</w:t>
            </w:r>
            <w:r w:rsidRPr="00A14B11">
              <w:rPr>
                <w:highlight w:val="green"/>
                <w:lang w:val="en-US" w:eastAsia="ko-KR"/>
              </w:rPr>
              <w:t>7 %</w:t>
            </w:r>
          </w:p>
        </w:tc>
        <w:tc>
          <w:tcPr>
            <w:tcW w:w="927" w:type="pct"/>
            <w:tcBorders>
              <w:top w:val="single" w:sz="4" w:space="0" w:color="auto"/>
              <w:left w:val="single" w:sz="4" w:space="0" w:color="auto"/>
              <w:bottom w:val="single" w:sz="4" w:space="0" w:color="auto"/>
              <w:right w:val="single" w:sz="4" w:space="0" w:color="auto"/>
            </w:tcBorders>
            <w:vAlign w:val="bottom"/>
          </w:tcPr>
          <w:p w14:paraId="1AED9627"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05E9BEC5" w14:textId="77777777" w:rsidTr="00C76E62">
        <w:trPr>
          <w:cantSplit/>
          <w:jc w:val="center"/>
        </w:trPr>
        <w:tc>
          <w:tcPr>
            <w:tcW w:w="651" w:type="pct"/>
            <w:vMerge/>
            <w:tcBorders>
              <w:left w:val="single" w:sz="4" w:space="0" w:color="auto"/>
              <w:right w:val="single" w:sz="4" w:space="0" w:color="auto"/>
            </w:tcBorders>
            <w:vAlign w:val="center"/>
            <w:hideMark/>
          </w:tcPr>
          <w:p w14:paraId="2911AD81" w14:textId="77777777" w:rsidR="005C0997" w:rsidRDefault="005C0997" w:rsidP="00C76E62">
            <w:pPr>
              <w:pStyle w:val="TAC"/>
              <w:rPr>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2639EA38"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16DB38F4" w14:textId="77777777" w:rsidR="005C0997" w:rsidRPr="00A14B11" w:rsidRDefault="005C0997" w:rsidP="00C76E62">
            <w:pPr>
              <w:pStyle w:val="TAC"/>
              <w:rPr>
                <w:lang w:val="en-US" w:eastAsia="ko-KR"/>
              </w:rPr>
            </w:pPr>
            <w:r>
              <w:rPr>
                <w:lang w:val="en-US" w:eastAsia="ko-KR"/>
              </w:rPr>
              <w:t>480</w:t>
            </w:r>
          </w:p>
        </w:tc>
        <w:tc>
          <w:tcPr>
            <w:tcW w:w="929" w:type="pct"/>
            <w:tcBorders>
              <w:top w:val="single" w:sz="4" w:space="0" w:color="auto"/>
              <w:left w:val="single" w:sz="4" w:space="0" w:color="auto"/>
              <w:bottom w:val="single" w:sz="4" w:space="0" w:color="auto"/>
              <w:right w:val="single" w:sz="4" w:space="0" w:color="auto"/>
            </w:tcBorders>
            <w:vAlign w:val="bottom"/>
          </w:tcPr>
          <w:p w14:paraId="7324B939"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9</w:t>
            </w:r>
          </w:p>
        </w:tc>
        <w:tc>
          <w:tcPr>
            <w:tcW w:w="928" w:type="pct"/>
            <w:tcBorders>
              <w:top w:val="single" w:sz="4" w:space="0" w:color="auto"/>
              <w:left w:val="single" w:sz="4" w:space="0" w:color="auto"/>
              <w:bottom w:val="single" w:sz="4" w:space="0" w:color="auto"/>
              <w:right w:val="single" w:sz="4" w:space="0" w:color="auto"/>
            </w:tcBorders>
            <w:vAlign w:val="bottom"/>
          </w:tcPr>
          <w:p w14:paraId="62E2BA53" w14:textId="77777777" w:rsidR="005C0997" w:rsidRPr="00A14B11" w:rsidRDefault="005C0997" w:rsidP="00C76E62">
            <w:pPr>
              <w:pStyle w:val="TAC"/>
              <w:rPr>
                <w:lang w:val="en-US" w:eastAsia="ko-KR"/>
              </w:rPr>
            </w:pPr>
            <w:r w:rsidRPr="00A14B11">
              <w:rPr>
                <w:highlight w:val="yellow"/>
                <w:lang w:val="en-US" w:eastAsia="ko-KR"/>
              </w:rPr>
              <w:t>0</w:t>
            </w:r>
            <w:r>
              <w:rPr>
                <w:highlight w:val="yellow"/>
                <w:lang w:val="en-US" w:eastAsia="ko-KR"/>
              </w:rPr>
              <w:t>.</w:t>
            </w:r>
            <w:r w:rsidRPr="00A14B11">
              <w:rPr>
                <w:highlight w:val="yellow"/>
                <w:lang w:val="en-US" w:eastAsia="ko-KR"/>
              </w:rPr>
              <w:t>4 %</w:t>
            </w:r>
          </w:p>
        </w:tc>
        <w:tc>
          <w:tcPr>
            <w:tcW w:w="927" w:type="pct"/>
            <w:tcBorders>
              <w:top w:val="single" w:sz="4" w:space="0" w:color="auto"/>
              <w:left w:val="single" w:sz="4" w:space="0" w:color="auto"/>
              <w:bottom w:val="single" w:sz="4" w:space="0" w:color="auto"/>
              <w:right w:val="single" w:sz="4" w:space="0" w:color="auto"/>
            </w:tcBorders>
            <w:vAlign w:val="bottom"/>
          </w:tcPr>
          <w:p w14:paraId="2F12F911"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792C8C81" w14:textId="77777777" w:rsidTr="00C76E62">
        <w:trPr>
          <w:cantSplit/>
          <w:jc w:val="center"/>
        </w:trPr>
        <w:tc>
          <w:tcPr>
            <w:tcW w:w="651" w:type="pct"/>
            <w:vMerge/>
            <w:tcBorders>
              <w:left w:val="single" w:sz="4" w:space="0" w:color="auto"/>
              <w:right w:val="single" w:sz="4" w:space="0" w:color="auto"/>
            </w:tcBorders>
            <w:vAlign w:val="center"/>
            <w:hideMark/>
          </w:tcPr>
          <w:p w14:paraId="73484AE1" w14:textId="77777777" w:rsidR="005C0997" w:rsidRDefault="005C0997" w:rsidP="00C76E62">
            <w:pPr>
              <w:pStyle w:val="TAC"/>
              <w:rPr>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376D863C"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7FC3863B" w14:textId="77777777" w:rsidR="005C0997" w:rsidRPr="00A14B11" w:rsidRDefault="005C0997" w:rsidP="00C76E62">
            <w:pPr>
              <w:pStyle w:val="TAC"/>
              <w:rPr>
                <w:lang w:val="en-US" w:eastAsia="ko-KR"/>
              </w:rPr>
            </w:pPr>
            <w:r>
              <w:rPr>
                <w:lang w:val="en-US" w:eastAsia="ko-KR"/>
              </w:rPr>
              <w:t>960</w:t>
            </w:r>
          </w:p>
        </w:tc>
        <w:tc>
          <w:tcPr>
            <w:tcW w:w="929" w:type="pct"/>
            <w:tcBorders>
              <w:top w:val="single" w:sz="4" w:space="0" w:color="auto"/>
              <w:left w:val="single" w:sz="4" w:space="0" w:color="auto"/>
              <w:bottom w:val="single" w:sz="4" w:space="0" w:color="auto"/>
              <w:right w:val="single" w:sz="4" w:space="0" w:color="auto"/>
            </w:tcBorders>
            <w:vAlign w:val="bottom"/>
          </w:tcPr>
          <w:p w14:paraId="0B018EDB"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5</w:t>
            </w:r>
          </w:p>
        </w:tc>
        <w:tc>
          <w:tcPr>
            <w:tcW w:w="928" w:type="pct"/>
            <w:tcBorders>
              <w:top w:val="single" w:sz="4" w:space="0" w:color="auto"/>
              <w:left w:val="single" w:sz="4" w:space="0" w:color="auto"/>
              <w:bottom w:val="single" w:sz="4" w:space="0" w:color="auto"/>
              <w:right w:val="single" w:sz="4" w:space="0" w:color="auto"/>
            </w:tcBorders>
            <w:vAlign w:val="bottom"/>
          </w:tcPr>
          <w:p w14:paraId="55D22021" w14:textId="77777777" w:rsidR="005C0997" w:rsidRPr="00A14B11" w:rsidRDefault="005C0997" w:rsidP="00C76E62">
            <w:pPr>
              <w:pStyle w:val="TAC"/>
              <w:rPr>
                <w:lang w:val="en-US" w:eastAsia="ko-KR"/>
              </w:rPr>
            </w:pPr>
            <w:r w:rsidRPr="00A14B11">
              <w:rPr>
                <w:highlight w:val="red"/>
                <w:lang w:val="en-US" w:eastAsia="ko-KR"/>
              </w:rPr>
              <w:t>0</w:t>
            </w:r>
            <w:r>
              <w:rPr>
                <w:highlight w:val="red"/>
                <w:lang w:val="en-US" w:eastAsia="ko-KR"/>
              </w:rPr>
              <w:t>.</w:t>
            </w:r>
            <w:r w:rsidRPr="00A14B11">
              <w:rPr>
                <w:highlight w:val="red"/>
                <w:lang w:val="en-US" w:eastAsia="ko-KR"/>
              </w:rPr>
              <w:t>2 %</w:t>
            </w:r>
          </w:p>
        </w:tc>
        <w:tc>
          <w:tcPr>
            <w:tcW w:w="927" w:type="pct"/>
            <w:tcBorders>
              <w:top w:val="single" w:sz="4" w:space="0" w:color="auto"/>
              <w:left w:val="single" w:sz="4" w:space="0" w:color="auto"/>
              <w:bottom w:val="single" w:sz="4" w:space="0" w:color="auto"/>
              <w:right w:val="single" w:sz="4" w:space="0" w:color="auto"/>
            </w:tcBorders>
            <w:vAlign w:val="bottom"/>
          </w:tcPr>
          <w:p w14:paraId="79277125"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7F099D59" w14:textId="77777777" w:rsidTr="00C76E62">
        <w:trPr>
          <w:cantSplit/>
          <w:jc w:val="center"/>
        </w:trPr>
        <w:tc>
          <w:tcPr>
            <w:tcW w:w="651" w:type="pct"/>
            <w:vMerge/>
            <w:tcBorders>
              <w:left w:val="single" w:sz="4" w:space="0" w:color="auto"/>
              <w:right w:val="single" w:sz="4" w:space="0" w:color="auto"/>
            </w:tcBorders>
            <w:vAlign w:val="center"/>
            <w:hideMark/>
          </w:tcPr>
          <w:p w14:paraId="3D1718A4" w14:textId="77777777" w:rsidR="005C0997" w:rsidRDefault="005C0997" w:rsidP="00C76E62">
            <w:pPr>
              <w:pStyle w:val="TAC"/>
              <w:rPr>
                <w:lang w:val="en-GB" w:eastAsia="ko-KR"/>
              </w:rPr>
            </w:pPr>
          </w:p>
        </w:tc>
        <w:tc>
          <w:tcPr>
            <w:tcW w:w="783" w:type="pct"/>
            <w:vMerge w:val="restart"/>
            <w:tcBorders>
              <w:top w:val="single" w:sz="4" w:space="0" w:color="auto"/>
              <w:left w:val="single" w:sz="4" w:space="0" w:color="auto"/>
              <w:bottom w:val="single" w:sz="4" w:space="0" w:color="auto"/>
              <w:right w:val="single" w:sz="4" w:space="0" w:color="auto"/>
            </w:tcBorders>
            <w:vAlign w:val="center"/>
            <w:hideMark/>
          </w:tcPr>
          <w:p w14:paraId="3A191515" w14:textId="77777777" w:rsidR="005C0997" w:rsidRPr="00A14B11" w:rsidRDefault="005C0997" w:rsidP="00C76E62">
            <w:pPr>
              <w:pStyle w:val="TAC"/>
              <w:rPr>
                <w:lang w:val="en-US" w:eastAsia="ko-KR"/>
              </w:rPr>
            </w:pPr>
            <w:r>
              <w:rPr>
                <w:lang w:val="en-US" w:eastAsia="ko-KR"/>
              </w:rPr>
              <w:t>240</w:t>
            </w:r>
          </w:p>
        </w:tc>
        <w:tc>
          <w:tcPr>
            <w:tcW w:w="782" w:type="pct"/>
            <w:tcBorders>
              <w:top w:val="single" w:sz="4" w:space="0" w:color="auto"/>
              <w:left w:val="single" w:sz="4" w:space="0" w:color="auto"/>
              <w:bottom w:val="single" w:sz="4" w:space="0" w:color="auto"/>
              <w:right w:val="single" w:sz="4" w:space="0" w:color="auto"/>
            </w:tcBorders>
            <w:hideMark/>
          </w:tcPr>
          <w:p w14:paraId="6F4AA7BC" w14:textId="77777777" w:rsidR="005C0997" w:rsidRDefault="005C0997" w:rsidP="00C76E62">
            <w:pPr>
              <w:pStyle w:val="TAC"/>
              <w:rPr>
                <w:lang w:eastAsia="ko-KR"/>
              </w:rPr>
            </w:pPr>
            <w:r>
              <w:rPr>
                <w:lang w:val="en-US" w:eastAsia="ko-KR"/>
              </w:rPr>
              <w:t>240</w:t>
            </w:r>
          </w:p>
        </w:tc>
        <w:tc>
          <w:tcPr>
            <w:tcW w:w="929" w:type="pct"/>
            <w:tcBorders>
              <w:top w:val="single" w:sz="4" w:space="0" w:color="auto"/>
              <w:left w:val="single" w:sz="4" w:space="0" w:color="auto"/>
              <w:bottom w:val="single" w:sz="4" w:space="0" w:color="auto"/>
              <w:right w:val="single" w:sz="4" w:space="0" w:color="auto"/>
            </w:tcBorders>
            <w:vAlign w:val="bottom"/>
          </w:tcPr>
          <w:p w14:paraId="1E11C0B9" w14:textId="77777777" w:rsidR="005C0997" w:rsidRPr="00A14B11" w:rsidRDefault="005C0997" w:rsidP="00C76E62">
            <w:pPr>
              <w:pStyle w:val="TAC"/>
              <w:rPr>
                <w:lang w:val="en-US" w:eastAsia="ko-KR"/>
              </w:rPr>
            </w:pPr>
            <w:r w:rsidRPr="00A14B11">
              <w:rPr>
                <w:lang w:val="en-US" w:eastAsia="ko-KR"/>
              </w:rPr>
              <w:t>1</w:t>
            </w:r>
            <w:r>
              <w:rPr>
                <w:lang w:val="en-US" w:eastAsia="ko-KR"/>
              </w:rPr>
              <w:t>.</w:t>
            </w:r>
            <w:r w:rsidRPr="00A14B11">
              <w:rPr>
                <w:lang w:val="en-US" w:eastAsia="ko-KR"/>
              </w:rPr>
              <w:t>8</w:t>
            </w:r>
          </w:p>
        </w:tc>
        <w:tc>
          <w:tcPr>
            <w:tcW w:w="928" w:type="pct"/>
            <w:tcBorders>
              <w:top w:val="single" w:sz="4" w:space="0" w:color="auto"/>
              <w:left w:val="single" w:sz="4" w:space="0" w:color="auto"/>
              <w:bottom w:val="single" w:sz="4" w:space="0" w:color="auto"/>
              <w:right w:val="single" w:sz="4" w:space="0" w:color="auto"/>
            </w:tcBorders>
            <w:vAlign w:val="bottom"/>
          </w:tcPr>
          <w:p w14:paraId="2A1B4290" w14:textId="77777777" w:rsidR="005C0997" w:rsidRPr="00A14B11" w:rsidRDefault="005C0997" w:rsidP="00C76E62">
            <w:pPr>
              <w:pStyle w:val="TAC"/>
              <w:rPr>
                <w:highlight w:val="green"/>
                <w:lang w:val="en-US" w:eastAsia="ko-KR"/>
              </w:rPr>
            </w:pPr>
            <w:r w:rsidRPr="00A14B11">
              <w:rPr>
                <w:highlight w:val="green"/>
                <w:lang w:val="en-US" w:eastAsia="ko-KR"/>
              </w:rPr>
              <w:t>1</w:t>
            </w:r>
            <w:r>
              <w:rPr>
                <w:highlight w:val="green"/>
                <w:lang w:val="en-US" w:eastAsia="ko-KR"/>
              </w:rPr>
              <w:t>.</w:t>
            </w:r>
            <w:r w:rsidRPr="00A14B11">
              <w:rPr>
                <w:highlight w:val="green"/>
                <w:lang w:val="en-US" w:eastAsia="ko-KR"/>
              </w:rPr>
              <w:t>4 %</w:t>
            </w:r>
          </w:p>
        </w:tc>
        <w:tc>
          <w:tcPr>
            <w:tcW w:w="927" w:type="pct"/>
            <w:tcBorders>
              <w:top w:val="single" w:sz="4" w:space="0" w:color="auto"/>
              <w:left w:val="single" w:sz="4" w:space="0" w:color="auto"/>
              <w:bottom w:val="single" w:sz="4" w:space="0" w:color="auto"/>
              <w:right w:val="single" w:sz="4" w:space="0" w:color="auto"/>
            </w:tcBorders>
            <w:vAlign w:val="bottom"/>
          </w:tcPr>
          <w:p w14:paraId="72D5617B" w14:textId="77777777" w:rsidR="005C0997" w:rsidRPr="00932E9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6FE04C01" w14:textId="77777777" w:rsidTr="00C76E62">
        <w:trPr>
          <w:cantSplit/>
          <w:jc w:val="center"/>
        </w:trPr>
        <w:tc>
          <w:tcPr>
            <w:tcW w:w="651" w:type="pct"/>
            <w:vMerge/>
            <w:tcBorders>
              <w:left w:val="single" w:sz="4" w:space="0" w:color="auto"/>
              <w:right w:val="single" w:sz="4" w:space="0" w:color="auto"/>
            </w:tcBorders>
            <w:vAlign w:val="center"/>
            <w:hideMark/>
          </w:tcPr>
          <w:p w14:paraId="2EE64E4D" w14:textId="77777777" w:rsidR="005C0997" w:rsidRDefault="005C0997" w:rsidP="00C76E62">
            <w:pPr>
              <w:pStyle w:val="TAC"/>
              <w:rPr>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5456BA43"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1E347176" w14:textId="77777777" w:rsidR="005C0997" w:rsidRDefault="005C0997" w:rsidP="00C76E62">
            <w:pPr>
              <w:pStyle w:val="TAC"/>
              <w:rPr>
                <w:lang w:eastAsia="ko-KR"/>
              </w:rPr>
            </w:pPr>
            <w:r>
              <w:rPr>
                <w:lang w:val="en-US" w:eastAsia="ko-KR"/>
              </w:rPr>
              <w:t>480</w:t>
            </w:r>
          </w:p>
        </w:tc>
        <w:tc>
          <w:tcPr>
            <w:tcW w:w="929" w:type="pct"/>
            <w:tcBorders>
              <w:top w:val="single" w:sz="4" w:space="0" w:color="auto"/>
              <w:left w:val="single" w:sz="4" w:space="0" w:color="auto"/>
              <w:bottom w:val="single" w:sz="4" w:space="0" w:color="auto"/>
              <w:right w:val="single" w:sz="4" w:space="0" w:color="auto"/>
            </w:tcBorders>
            <w:vAlign w:val="bottom"/>
          </w:tcPr>
          <w:p w14:paraId="5CF17C87"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9</w:t>
            </w:r>
          </w:p>
        </w:tc>
        <w:tc>
          <w:tcPr>
            <w:tcW w:w="928" w:type="pct"/>
            <w:tcBorders>
              <w:top w:val="single" w:sz="4" w:space="0" w:color="auto"/>
              <w:left w:val="single" w:sz="4" w:space="0" w:color="auto"/>
              <w:bottom w:val="single" w:sz="4" w:space="0" w:color="auto"/>
              <w:right w:val="single" w:sz="4" w:space="0" w:color="auto"/>
            </w:tcBorders>
            <w:vAlign w:val="bottom"/>
          </w:tcPr>
          <w:p w14:paraId="37433DE1" w14:textId="77777777" w:rsidR="005C0997" w:rsidRPr="00A14B11" w:rsidRDefault="005C0997" w:rsidP="00C76E62">
            <w:pPr>
              <w:pStyle w:val="TAC"/>
              <w:rPr>
                <w:highlight w:val="green"/>
                <w:lang w:val="en-US" w:eastAsia="ko-KR"/>
              </w:rPr>
            </w:pPr>
            <w:r w:rsidRPr="00A14B11">
              <w:rPr>
                <w:highlight w:val="green"/>
                <w:lang w:val="en-US" w:eastAsia="ko-KR"/>
              </w:rPr>
              <w:t>0</w:t>
            </w:r>
            <w:r>
              <w:rPr>
                <w:highlight w:val="green"/>
                <w:lang w:val="en-US" w:eastAsia="ko-KR"/>
              </w:rPr>
              <w:t>.</w:t>
            </w:r>
            <w:r w:rsidRPr="00A14B11">
              <w:rPr>
                <w:highlight w:val="green"/>
                <w:lang w:val="en-US" w:eastAsia="ko-KR"/>
              </w:rPr>
              <w:t>7 %</w:t>
            </w:r>
          </w:p>
        </w:tc>
        <w:tc>
          <w:tcPr>
            <w:tcW w:w="927" w:type="pct"/>
            <w:tcBorders>
              <w:top w:val="single" w:sz="4" w:space="0" w:color="auto"/>
              <w:left w:val="single" w:sz="4" w:space="0" w:color="auto"/>
              <w:bottom w:val="single" w:sz="4" w:space="0" w:color="auto"/>
              <w:right w:val="single" w:sz="4" w:space="0" w:color="auto"/>
            </w:tcBorders>
            <w:vAlign w:val="bottom"/>
          </w:tcPr>
          <w:p w14:paraId="29A9BDBA"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r w:rsidR="005C0997" w14:paraId="1E22318C" w14:textId="77777777" w:rsidTr="00C76E62">
        <w:trPr>
          <w:cantSplit/>
          <w:jc w:val="center"/>
        </w:trPr>
        <w:tc>
          <w:tcPr>
            <w:tcW w:w="651" w:type="pct"/>
            <w:vMerge/>
            <w:tcBorders>
              <w:left w:val="single" w:sz="4" w:space="0" w:color="auto"/>
              <w:right w:val="single" w:sz="4" w:space="0" w:color="auto"/>
            </w:tcBorders>
            <w:vAlign w:val="center"/>
            <w:hideMark/>
          </w:tcPr>
          <w:p w14:paraId="0AD0AE7D" w14:textId="77777777" w:rsidR="005C0997" w:rsidRDefault="005C0997" w:rsidP="00C76E62">
            <w:pPr>
              <w:pStyle w:val="TAC"/>
              <w:rPr>
                <w:lang w:val="en-GB" w:eastAsia="ko-KR"/>
              </w:rPr>
            </w:pPr>
          </w:p>
        </w:tc>
        <w:tc>
          <w:tcPr>
            <w:tcW w:w="783" w:type="pct"/>
            <w:vMerge/>
            <w:tcBorders>
              <w:top w:val="single" w:sz="4" w:space="0" w:color="auto"/>
              <w:left w:val="single" w:sz="4" w:space="0" w:color="auto"/>
              <w:bottom w:val="single" w:sz="4" w:space="0" w:color="auto"/>
              <w:right w:val="single" w:sz="4" w:space="0" w:color="auto"/>
            </w:tcBorders>
            <w:vAlign w:val="center"/>
            <w:hideMark/>
          </w:tcPr>
          <w:p w14:paraId="02C2A916" w14:textId="77777777" w:rsidR="005C0997" w:rsidRDefault="005C0997" w:rsidP="00C76E62">
            <w:pPr>
              <w:spacing w:after="0"/>
              <w:rPr>
                <w:rFonts w:ascii="Arial" w:hAnsi="Arial"/>
                <w:sz w:val="18"/>
                <w:lang w:val="en-GB" w:eastAsia="ko-KR"/>
              </w:rPr>
            </w:pPr>
          </w:p>
        </w:tc>
        <w:tc>
          <w:tcPr>
            <w:tcW w:w="782" w:type="pct"/>
            <w:tcBorders>
              <w:top w:val="single" w:sz="4" w:space="0" w:color="auto"/>
              <w:left w:val="single" w:sz="4" w:space="0" w:color="auto"/>
              <w:bottom w:val="single" w:sz="4" w:space="0" w:color="auto"/>
              <w:right w:val="single" w:sz="4" w:space="0" w:color="auto"/>
            </w:tcBorders>
            <w:hideMark/>
          </w:tcPr>
          <w:p w14:paraId="00DD62E6" w14:textId="77777777" w:rsidR="005C0997" w:rsidRDefault="005C0997" w:rsidP="00C76E62">
            <w:pPr>
              <w:pStyle w:val="TAC"/>
              <w:rPr>
                <w:lang w:eastAsia="ko-KR"/>
              </w:rPr>
            </w:pPr>
            <w:r>
              <w:rPr>
                <w:lang w:val="en-US" w:eastAsia="ko-KR"/>
              </w:rPr>
              <w:t>960</w:t>
            </w:r>
          </w:p>
        </w:tc>
        <w:tc>
          <w:tcPr>
            <w:tcW w:w="929" w:type="pct"/>
            <w:tcBorders>
              <w:top w:val="single" w:sz="4" w:space="0" w:color="auto"/>
              <w:left w:val="single" w:sz="4" w:space="0" w:color="auto"/>
              <w:bottom w:val="single" w:sz="4" w:space="0" w:color="auto"/>
              <w:right w:val="single" w:sz="4" w:space="0" w:color="auto"/>
            </w:tcBorders>
            <w:vAlign w:val="bottom"/>
          </w:tcPr>
          <w:p w14:paraId="4827C3FC" w14:textId="77777777" w:rsidR="005C0997" w:rsidRPr="00A14B11" w:rsidRDefault="005C0997" w:rsidP="00C76E62">
            <w:pPr>
              <w:pStyle w:val="TAC"/>
              <w:rPr>
                <w:lang w:val="en-US" w:eastAsia="ko-KR"/>
              </w:rPr>
            </w:pPr>
            <w:r w:rsidRPr="00A14B11">
              <w:rPr>
                <w:lang w:val="en-US" w:eastAsia="ko-KR"/>
              </w:rPr>
              <w:t>0</w:t>
            </w:r>
            <w:r>
              <w:rPr>
                <w:lang w:val="en-US" w:eastAsia="ko-KR"/>
              </w:rPr>
              <w:t>.</w:t>
            </w:r>
            <w:r w:rsidRPr="00A14B11">
              <w:rPr>
                <w:lang w:val="en-US" w:eastAsia="ko-KR"/>
              </w:rPr>
              <w:t>5</w:t>
            </w:r>
          </w:p>
        </w:tc>
        <w:tc>
          <w:tcPr>
            <w:tcW w:w="928" w:type="pct"/>
            <w:tcBorders>
              <w:top w:val="single" w:sz="4" w:space="0" w:color="auto"/>
              <w:left w:val="single" w:sz="4" w:space="0" w:color="auto"/>
              <w:bottom w:val="single" w:sz="4" w:space="0" w:color="auto"/>
              <w:right w:val="single" w:sz="4" w:space="0" w:color="auto"/>
            </w:tcBorders>
            <w:vAlign w:val="bottom"/>
          </w:tcPr>
          <w:p w14:paraId="38966E63" w14:textId="77777777" w:rsidR="005C0997" w:rsidRPr="00A14B11" w:rsidRDefault="005C0997" w:rsidP="00C76E62">
            <w:pPr>
              <w:pStyle w:val="TAC"/>
              <w:rPr>
                <w:lang w:val="en-US" w:eastAsia="ko-KR"/>
              </w:rPr>
            </w:pPr>
            <w:r w:rsidRPr="00A14B11">
              <w:rPr>
                <w:highlight w:val="yellow"/>
                <w:lang w:val="en-US" w:eastAsia="ko-KR"/>
              </w:rPr>
              <w:t>0</w:t>
            </w:r>
            <w:r>
              <w:rPr>
                <w:highlight w:val="yellow"/>
                <w:lang w:val="en-US" w:eastAsia="ko-KR"/>
              </w:rPr>
              <w:t>.</w:t>
            </w:r>
            <w:r w:rsidRPr="00A14B11">
              <w:rPr>
                <w:highlight w:val="yellow"/>
                <w:lang w:val="en-US" w:eastAsia="ko-KR"/>
              </w:rPr>
              <w:t>4 %</w:t>
            </w:r>
          </w:p>
        </w:tc>
        <w:tc>
          <w:tcPr>
            <w:tcW w:w="927" w:type="pct"/>
            <w:tcBorders>
              <w:top w:val="single" w:sz="4" w:space="0" w:color="auto"/>
              <w:left w:val="single" w:sz="4" w:space="0" w:color="auto"/>
              <w:bottom w:val="single" w:sz="4" w:space="0" w:color="auto"/>
              <w:right w:val="single" w:sz="4" w:space="0" w:color="auto"/>
            </w:tcBorders>
            <w:vAlign w:val="bottom"/>
          </w:tcPr>
          <w:p w14:paraId="7E159C82" w14:textId="77777777" w:rsidR="005C0997" w:rsidRPr="00A14B11" w:rsidRDefault="005C0997" w:rsidP="00C76E62">
            <w:pPr>
              <w:pStyle w:val="TAC"/>
              <w:rPr>
                <w:lang w:val="en-US" w:eastAsia="ko-KR"/>
              </w:rPr>
            </w:pPr>
            <w:r w:rsidRPr="00A14B11">
              <w:rPr>
                <w:lang w:val="en-US" w:eastAsia="ko-KR"/>
              </w:rPr>
              <w:t>20</w:t>
            </w:r>
            <w:r>
              <w:rPr>
                <w:lang w:val="en-US" w:eastAsia="ko-KR"/>
              </w:rPr>
              <w:t xml:space="preserve"> </w:t>
            </w:r>
            <w:r w:rsidRPr="00A14B11">
              <w:rPr>
                <w:lang w:val="en-US" w:eastAsia="ko-KR"/>
              </w:rPr>
              <w:t>%</w:t>
            </w:r>
          </w:p>
        </w:tc>
      </w:tr>
    </w:tbl>
    <w:p w14:paraId="500A8756" w14:textId="77777777" w:rsidR="005C0997" w:rsidRDefault="005C0997" w:rsidP="005C0997">
      <w:pPr>
        <w:pStyle w:val="BodyText"/>
      </w:pPr>
    </w:p>
    <w:p w14:paraId="3EF6CDB4" w14:textId="1FBCC76C" w:rsidR="005C0997" w:rsidRDefault="005C0997" w:rsidP="005C0997">
      <w:pPr>
        <w:pStyle w:val="BodyText"/>
      </w:pPr>
      <w:r>
        <w:t xml:space="preserve">Based on this extrapolation exercise, we can observe that the required absolute error </w:t>
      </w:r>
      <w:proofErr w:type="spellStart"/>
      <w:r>
        <w:t>T</w:t>
      </w:r>
      <w:r w:rsidRPr="00A14B11">
        <w:rPr>
          <w:vertAlign w:val="subscript"/>
        </w:rPr>
        <w:t>e</w:t>
      </w:r>
      <w:proofErr w:type="spellEnd"/>
      <w:r>
        <w:t>, is much lower than the minimum 3Ts for FR2. In addition, the requirement becomes tighter as the UL SCS increases. We can also observe that to keep the error as percent of 1/</w:t>
      </w:r>
      <w:r w:rsidRPr="00F30C07">
        <w:t>SCS</w:t>
      </w:r>
      <w:r w:rsidRPr="0017761B">
        <w:rPr>
          <w:vertAlign w:val="subscript"/>
        </w:rPr>
        <w:t>SSB</w:t>
      </w:r>
      <w:r>
        <w:t xml:space="preserve"> above the minimum in current specifications (0.5%), the UL SCS cannot be more than twice that of the SSB SCS.</w:t>
      </w:r>
    </w:p>
    <w:p w14:paraId="1596062B" w14:textId="795C85DB" w:rsidR="00F70018" w:rsidRDefault="00F70018" w:rsidP="005C0997">
      <w:pPr>
        <w:pStyle w:val="BodyText"/>
      </w:pPr>
    </w:p>
    <w:p w14:paraId="4A6D03C4" w14:textId="77777777" w:rsidR="00C95117" w:rsidRDefault="007C1EAB" w:rsidP="007C1EAB">
      <w:pPr>
        <w:pStyle w:val="Observation"/>
      </w:pPr>
      <w:bookmarkStart w:id="163" w:name="_Toc53775921"/>
      <w:r>
        <w:t xml:space="preserve">A higher UL SCS puts tighter requirements on UE </w:t>
      </w:r>
      <w:r w:rsidR="00A126BD">
        <w:t xml:space="preserve">initial </w:t>
      </w:r>
      <w:r>
        <w:t>UL timing accuracy.</w:t>
      </w:r>
      <w:bookmarkEnd w:id="163"/>
      <w:r>
        <w:t xml:space="preserve"> </w:t>
      </w:r>
    </w:p>
    <w:p w14:paraId="69BBD93F" w14:textId="1C510895" w:rsidR="007C1EAB" w:rsidRDefault="00C95117" w:rsidP="003C2819">
      <w:pPr>
        <w:pStyle w:val="Proposal"/>
      </w:pPr>
      <w:bookmarkStart w:id="164" w:name="_Toc53776198"/>
      <w:r>
        <w:t xml:space="preserve">Capture the following observation in TR 38.808: </w:t>
      </w:r>
      <w:r w:rsidR="007C1EAB">
        <w:t>To avoid further tightening the UE requirement on UL timing error in relation to 1/SCS</w:t>
      </w:r>
      <w:r w:rsidR="007C1EAB" w:rsidRPr="0035235B">
        <w:rPr>
          <w:vertAlign w:val="subscript"/>
        </w:rPr>
        <w:t>SSB</w:t>
      </w:r>
      <w:r w:rsidR="007C1EAB">
        <w:rPr>
          <w:vertAlign w:val="subscript"/>
        </w:rPr>
        <w:t xml:space="preserve"> </w:t>
      </w:r>
      <w:r w:rsidR="007C1EAB">
        <w:t xml:space="preserve">compared to current specifications, the UL SCS should not be more than twice that of the SSB SCS. </w:t>
      </w:r>
      <w:r w:rsidR="00295AC6">
        <w:t>Using existing Rel-16 specifications for SSB, this can be achieved with 240 kHz SCS for SSB and 480 kHz for UL SCS</w:t>
      </w:r>
      <w:r w:rsidR="007C1EAB">
        <w:t>.</w:t>
      </w:r>
      <w:bookmarkEnd w:id="164"/>
    </w:p>
    <w:p w14:paraId="1DDD6BAB" w14:textId="2813C9AF" w:rsidR="007C1EAB" w:rsidRPr="003C2819" w:rsidRDefault="007C1EAB" w:rsidP="006F40DD">
      <w:pPr>
        <w:pStyle w:val="BodyText"/>
      </w:pPr>
      <w:r w:rsidRPr="009D3A83">
        <w:t xml:space="preserve">In addition, </w:t>
      </w:r>
      <w:r w:rsidR="00295AC6">
        <w:t>it is important to realize that</w:t>
      </w:r>
      <w:r w:rsidRPr="009D3A83">
        <w:t xml:space="preserve"> the CP also needs to cater for other UL timing errors such as timing advance-adjustment accuracy and resolution, which also need to scale with the UL SCS.</w:t>
      </w:r>
    </w:p>
    <w:p w14:paraId="0E2319A7" w14:textId="11F5ED2B" w:rsidR="00CC2C10" w:rsidRPr="009D3A83" w:rsidRDefault="00CC2C10" w:rsidP="006F40DD">
      <w:pPr>
        <w:pStyle w:val="BodyText"/>
        <w:rPr>
          <w:lang w:val="en-GB"/>
        </w:rPr>
      </w:pPr>
      <w:r w:rsidRPr="003C2819">
        <w:t xml:space="preserve">The UE Timing Advance resolution as defined in 38.213 §4.2 already scales with the sub-carrier spacing </w:t>
      </w:r>
      <w:r w:rsidR="00D5031A">
        <w:t>according to</w:t>
      </w:r>
      <w:r>
        <w:t xml:space="preserve"> </w:t>
      </w:r>
      <m:oMath>
        <m:f>
          <m:fPr>
            <m:type m:val="lin"/>
            <m:ctrlPr>
              <w:rPr>
                <w:rFonts w:ascii="Cambria Math" w:hAnsi="Cambria Math"/>
                <w:i/>
              </w:rPr>
            </m:ctrlPr>
          </m:fPr>
          <m:num>
            <m:r>
              <w:rPr>
                <w:rFonts w:ascii="Cambria Math" w:hAnsi="Cambria Math"/>
              </w:rPr>
              <m:t>16∙64∙</m:t>
            </m:r>
            <m:sSub>
              <m:sSubPr>
                <m:ctrlPr>
                  <w:rPr>
                    <w:rFonts w:ascii="Cambria Math" w:hAnsi="Cambria Math"/>
                    <w:i/>
                  </w:rPr>
                </m:ctrlPr>
              </m:sSubPr>
              <m:e>
                <m:r>
                  <w:rPr>
                    <w:rFonts w:ascii="Cambria Math" w:hAnsi="Cambria Math"/>
                  </w:rPr>
                  <m:t>T</m:t>
                </m:r>
              </m:e>
              <m:sub>
                <m:r>
                  <w:rPr>
                    <w:rFonts w:ascii="Cambria Math" w:hAnsi="Cambria Math"/>
                  </w:rPr>
                  <m:t>c</m:t>
                </m:r>
              </m:sub>
            </m:sSub>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rsidR="00082124">
        <w:t xml:space="preserve">. The worst-case error is thus half of </w:t>
      </w:r>
      <w:r w:rsidR="001D5AED">
        <w:t>th</w:t>
      </w:r>
      <w:r w:rsidR="00D15273">
        <w:t>at</w:t>
      </w:r>
      <w:r w:rsidR="001D5AED">
        <w:t xml:space="preserve"> resolution (</w:t>
      </w:r>
      <m:oMath>
        <m:r>
          <w:rPr>
            <w:rFonts w:ascii="Cambria Math" w:hAnsi="Cambria Math"/>
          </w:rPr>
          <m:t>=</m:t>
        </m:r>
        <m:f>
          <m:fPr>
            <m:type m:val="lin"/>
            <m:ctrlPr>
              <w:rPr>
                <w:rFonts w:ascii="Cambria Math" w:hAnsi="Cambria Math"/>
                <w:i/>
              </w:rPr>
            </m:ctrlPr>
          </m:fPr>
          <m:num>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16∙64∙</m:t>
            </m:r>
            <m:sSub>
              <m:sSubPr>
                <m:ctrlPr>
                  <w:rPr>
                    <w:rFonts w:ascii="Cambria Math" w:hAnsi="Cambria Math"/>
                    <w:i/>
                  </w:rPr>
                </m:ctrlPr>
              </m:sSubPr>
              <m:e>
                <m:r>
                  <w:rPr>
                    <w:rFonts w:ascii="Cambria Math" w:hAnsi="Cambria Math"/>
                  </w:rPr>
                  <m:t>T</m:t>
                </m:r>
              </m:e>
              <m:sub>
                <m:r>
                  <w:rPr>
                    <w:rFonts w:ascii="Cambria Math" w:hAnsi="Cambria Math"/>
                  </w:rPr>
                  <m:t>c</m:t>
                </m:r>
              </m:sub>
            </m:sSub>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rsidR="001D5AED">
        <w:t xml:space="preserve">) </w:t>
      </w:r>
      <w:r w:rsidR="00CE2257">
        <w:t xml:space="preserve">which corresponds to </w:t>
      </w:r>
      <w:r w:rsidR="007551E5">
        <w:t>5.6</w:t>
      </w:r>
      <w:r w:rsidR="00CE2257">
        <w:t>% of the UL CP</w:t>
      </w:r>
      <w:r w:rsidR="001D5AED">
        <w:t xml:space="preserve"> (</w:t>
      </w:r>
      <m:oMath>
        <m:r>
          <w:rPr>
            <w:rFonts w:ascii="Cambria Math" w:hAnsi="Cambria Math"/>
          </w:rPr>
          <m:t>=</m:t>
        </m:r>
        <m:f>
          <m:fPr>
            <m:type m:val="lin"/>
            <m:ctrlPr>
              <w:rPr>
                <w:rFonts w:ascii="Cambria Math" w:hAnsi="Cambria Math"/>
                <w:i/>
              </w:rPr>
            </m:ctrlPr>
          </m:fPr>
          <m:num>
            <m:r>
              <w:rPr>
                <w:rFonts w:ascii="Cambria Math" w:hAnsi="Cambria Math"/>
              </w:rPr>
              <m:t>144∙64∙</m:t>
            </m:r>
            <m:sSub>
              <m:sSubPr>
                <m:ctrlPr>
                  <w:rPr>
                    <w:rFonts w:ascii="Cambria Math" w:hAnsi="Cambria Math"/>
                    <w:i/>
                  </w:rPr>
                </m:ctrlPr>
              </m:sSubPr>
              <m:e>
                <m:r>
                  <w:rPr>
                    <w:rFonts w:ascii="Cambria Math" w:hAnsi="Cambria Math"/>
                  </w:rPr>
                  <m:t>T</m:t>
                </m:r>
              </m:e>
              <m:sub>
                <m:r>
                  <w:rPr>
                    <w:rFonts w:ascii="Cambria Math" w:hAnsi="Cambria Math"/>
                  </w:rPr>
                  <m:t>c</m:t>
                </m:r>
              </m:sub>
            </m:sSub>
          </m:num>
          <m:den>
            <m:sSup>
              <m:sSupPr>
                <m:ctrlPr>
                  <w:rPr>
                    <w:rFonts w:ascii="Cambria Math" w:hAnsi="Cambria Math"/>
                    <w:i/>
                  </w:rPr>
                </m:ctrlPr>
              </m:sSupPr>
              <m:e>
                <m:r>
                  <w:rPr>
                    <w:rFonts w:ascii="Cambria Math" w:hAnsi="Cambria Math"/>
                  </w:rPr>
                  <m:t>2</m:t>
                </m:r>
              </m:e>
              <m:sup>
                <m:r>
                  <w:rPr>
                    <w:rFonts w:ascii="Cambria Math" w:hAnsi="Cambria Math"/>
                  </w:rPr>
                  <m:t>μ</m:t>
                </m:r>
              </m:sup>
            </m:sSup>
          </m:den>
        </m:f>
        <m:r>
          <w:rPr>
            <w:rFonts w:ascii="Cambria Math" w:hAnsi="Cambria Math"/>
          </w:rPr>
          <m:t>)</m:t>
        </m:r>
      </m:oMath>
      <w:r w:rsidR="00CE2257">
        <w:t>.</w:t>
      </w:r>
    </w:p>
    <w:p w14:paraId="2FEF6984" w14:textId="251BA3AC" w:rsidR="006F40DD" w:rsidRPr="009D3A83" w:rsidRDefault="006F40DD" w:rsidP="006F40DD">
      <w:pPr>
        <w:pStyle w:val="BodyText"/>
        <w:rPr>
          <w:lang w:val="en-GB"/>
        </w:rPr>
      </w:pPr>
      <w:r w:rsidRPr="009D3A83">
        <w:rPr>
          <w:lang w:val="en-GB"/>
        </w:rPr>
        <w:t>For the case of UE Timing Advance adjustment accuracy</w:t>
      </w:r>
      <w:r w:rsidR="009B48A4" w:rsidRPr="009D3A83">
        <w:rPr>
          <w:lang w:val="en-GB"/>
        </w:rPr>
        <w:t>,</w:t>
      </w:r>
      <w:r w:rsidRPr="009D3A83">
        <w:rPr>
          <w:lang w:val="en-GB"/>
        </w:rPr>
        <w:t xml:space="preserve"> </w:t>
      </w:r>
      <w:r w:rsidR="00CC2C10" w:rsidRPr="003C2819">
        <w:rPr>
          <w:lang w:val="en-GB"/>
        </w:rPr>
        <w:t xml:space="preserve">it is specified in 38.133 as shown </w:t>
      </w:r>
      <w:r w:rsidRPr="009D3A83">
        <w:rPr>
          <w:lang w:val="en-GB"/>
        </w:rPr>
        <w:t>in</w:t>
      </w:r>
      <w:r w:rsidRPr="003C2819">
        <w:rPr>
          <w:lang w:val="en-GB"/>
        </w:rPr>
        <w:t xml:space="preserve"> </w:t>
      </w:r>
      <w:r w:rsidR="009B48A4" w:rsidRPr="003C2819">
        <w:rPr>
          <w:lang w:val="en-GB"/>
        </w:rPr>
        <w:fldChar w:fldCharType="begin"/>
      </w:r>
      <w:r w:rsidR="009B48A4" w:rsidRPr="003C2819">
        <w:rPr>
          <w:lang w:val="en-GB"/>
        </w:rPr>
        <w:instrText xml:space="preserve"> REF _Ref53051276 \h  \* MERGEFORMAT </w:instrText>
      </w:r>
      <w:r w:rsidR="009B48A4" w:rsidRPr="003C2819">
        <w:rPr>
          <w:lang w:val="en-GB"/>
        </w:rPr>
      </w:r>
      <w:r w:rsidR="009B48A4" w:rsidRPr="003C2819">
        <w:rPr>
          <w:lang w:val="en-GB"/>
        </w:rPr>
        <w:fldChar w:fldCharType="separate"/>
      </w:r>
      <w:r w:rsidR="00BE31F7" w:rsidRPr="00BE31F7">
        <w:t xml:space="preserve">Figure </w:t>
      </w:r>
      <w:r w:rsidR="00BE31F7" w:rsidRPr="00BE31F7">
        <w:rPr>
          <w:noProof/>
        </w:rPr>
        <w:t>31</w:t>
      </w:r>
      <w:r w:rsidR="009B48A4" w:rsidRPr="003C2819">
        <w:rPr>
          <w:lang w:val="en-GB"/>
        </w:rPr>
        <w:fldChar w:fldCharType="end"/>
      </w:r>
      <w:r w:rsidRPr="009D3A83">
        <w:rPr>
          <w:b/>
          <w:lang w:val="en-GB"/>
        </w:rPr>
        <w:t>,</w:t>
      </w:r>
      <w:r w:rsidR="00CC2C10" w:rsidRPr="003C2819">
        <w:rPr>
          <w:b/>
          <w:lang w:val="en-GB"/>
        </w:rPr>
        <w:t xml:space="preserve"> </w:t>
      </w:r>
      <w:r w:rsidR="00CC2C10" w:rsidRPr="003C2819">
        <w:rPr>
          <w:bCs/>
          <w:lang w:val="en-GB"/>
        </w:rPr>
        <w:t xml:space="preserve">where the table </w:t>
      </w:r>
      <w:r w:rsidR="00E91C23" w:rsidRPr="00E91C23">
        <w:rPr>
          <w:bCs/>
          <w:lang w:val="en-GB"/>
        </w:rPr>
        <w:t>has</w:t>
      </w:r>
      <w:r w:rsidR="00CC2C10" w:rsidRPr="003C2819">
        <w:rPr>
          <w:bCs/>
          <w:lang w:val="en-GB"/>
        </w:rPr>
        <w:t xml:space="preserve"> been augmented with one row for the ratio of UL CP as comparison. We can observe that </w:t>
      </w:r>
      <w:r w:rsidRPr="009D3A83">
        <w:rPr>
          <w:lang w:val="en-GB"/>
        </w:rPr>
        <w:t xml:space="preserve">scaling is proportional </w:t>
      </w:r>
      <w:r w:rsidR="009B48A4">
        <w:rPr>
          <w:lang w:val="en-GB"/>
        </w:rPr>
        <w:t>when comparing 15kHz to</w:t>
      </w:r>
      <w:r w:rsidRPr="009D3A83">
        <w:rPr>
          <w:lang w:val="en-GB"/>
        </w:rPr>
        <w:t xml:space="preserve"> 120 kHz (</w:t>
      </w:r>
      <w:r w:rsidR="00212167">
        <w:rPr>
          <w:lang w:val="en-GB"/>
        </w:rPr>
        <w:t xml:space="preserve">same relative error compared to </w:t>
      </w:r>
      <w:r w:rsidR="001451B5">
        <w:rPr>
          <w:lang w:val="en-GB"/>
        </w:rPr>
        <w:t xml:space="preserve">UL </w:t>
      </w:r>
      <w:r w:rsidR="00212167">
        <w:rPr>
          <w:lang w:val="en-GB"/>
        </w:rPr>
        <w:t>CP</w:t>
      </w:r>
      <w:r w:rsidR="001451B5">
        <w:rPr>
          <w:lang w:val="en-GB"/>
        </w:rPr>
        <w:t>),</w:t>
      </w:r>
      <w:r w:rsidR="00212167">
        <w:rPr>
          <w:lang w:val="en-GB"/>
        </w:rPr>
        <w:t xml:space="preserve"> </w:t>
      </w:r>
      <w:r w:rsidRPr="009D3A83">
        <w:rPr>
          <w:lang w:val="en-GB"/>
        </w:rPr>
        <w:t xml:space="preserve">but not </w:t>
      </w:r>
      <w:r w:rsidR="00212167">
        <w:rPr>
          <w:lang w:val="en-GB"/>
        </w:rPr>
        <w:t>when comparing 15kHz with</w:t>
      </w:r>
      <w:r w:rsidRPr="009D3A83">
        <w:rPr>
          <w:lang w:val="en-GB"/>
        </w:rPr>
        <w:t xml:space="preserve"> </w:t>
      </w:r>
      <w:r w:rsidR="00CC2C10">
        <w:rPr>
          <w:lang w:val="en-GB"/>
        </w:rPr>
        <w:t>30</w:t>
      </w:r>
      <w:r w:rsidRPr="009D3A83">
        <w:rPr>
          <w:lang w:val="en-GB"/>
        </w:rPr>
        <w:t xml:space="preserve"> </w:t>
      </w:r>
      <w:r w:rsidR="00212167">
        <w:rPr>
          <w:lang w:val="en-GB"/>
        </w:rPr>
        <w:t>or 60kHz.</w:t>
      </w:r>
      <w:r w:rsidRPr="009D3A83">
        <w:rPr>
          <w:lang w:val="en-GB"/>
        </w:rPr>
        <w:t xml:space="preserve"> </w:t>
      </w:r>
    </w:p>
    <w:p w14:paraId="0EAFAB4C" w14:textId="77777777" w:rsidR="006F40DD" w:rsidRPr="009D3A83" w:rsidRDefault="006F40DD" w:rsidP="006F40DD">
      <w:pPr>
        <w:pStyle w:val="BodyText"/>
        <w:rPr>
          <w:lang w:val="en-GB"/>
        </w:rPr>
      </w:pPr>
    </w:p>
    <w:p w14:paraId="044B4663" w14:textId="304CCA8F" w:rsidR="006F40DD" w:rsidRPr="009D3A83" w:rsidRDefault="003D12C2" w:rsidP="00A604B3">
      <w:pPr>
        <w:pStyle w:val="BodyText"/>
        <w:jc w:val="center"/>
        <w:rPr>
          <w:b/>
        </w:rPr>
      </w:pPr>
      <w:bookmarkStart w:id="165" w:name="_Ref53051276"/>
      <w:r w:rsidRPr="003C2819">
        <w:rPr>
          <w:b/>
          <w:bCs/>
        </w:rPr>
        <w:t xml:space="preserve">Figure </w:t>
      </w:r>
      <w:r>
        <w:rPr>
          <w:b/>
        </w:rPr>
        <w:fldChar w:fldCharType="begin"/>
      </w:r>
      <w:r w:rsidRPr="003D12C2">
        <w:rPr>
          <w:b/>
        </w:rPr>
        <w:instrText xml:space="preserve"> SEQ Figure \* ARABIC </w:instrText>
      </w:r>
      <w:r>
        <w:rPr>
          <w:b/>
        </w:rPr>
        <w:fldChar w:fldCharType="separate"/>
      </w:r>
      <w:r w:rsidR="00BE31F7">
        <w:rPr>
          <w:b/>
          <w:noProof/>
        </w:rPr>
        <w:t>31</w:t>
      </w:r>
      <w:r>
        <w:rPr>
          <w:b/>
        </w:rPr>
        <w:fldChar w:fldCharType="end"/>
      </w:r>
      <w:bookmarkEnd w:id="165"/>
      <w:r w:rsidR="006F40DD" w:rsidRPr="009D3A83">
        <w:rPr>
          <w:b/>
          <w:bCs/>
          <w:lang w:val="en-GB"/>
        </w:rPr>
        <w:t>: UE</w:t>
      </w:r>
      <w:r w:rsidR="006F40DD" w:rsidRPr="009D3A83">
        <w:rPr>
          <w:b/>
          <w:lang w:val="en-GB"/>
        </w:rPr>
        <w:t xml:space="preserve"> Timing Advance adjustment accuracy </w:t>
      </w:r>
      <w:r>
        <w:rPr>
          <w:b/>
          <w:lang w:val="en-GB"/>
        </w:rPr>
        <w:br/>
      </w:r>
      <w:r w:rsidR="006F40DD" w:rsidRPr="009D3A83">
        <w:rPr>
          <w:b/>
          <w:lang w:val="en-GB"/>
        </w:rPr>
        <w:t xml:space="preserve">(Table 7.3.2.2-1 in </w:t>
      </w:r>
      <w:r w:rsidR="00CE2257">
        <w:rPr>
          <w:b/>
          <w:lang w:val="en-GB"/>
        </w:rPr>
        <w:t>38.133</w:t>
      </w:r>
      <w:r w:rsidR="003C127C" w:rsidRPr="003C2819">
        <w:rPr>
          <w:b/>
          <w:lang w:val="en-GB"/>
        </w:rPr>
        <w:t xml:space="preserve"> augmented </w:t>
      </w:r>
      <w:r w:rsidR="00CE2257">
        <w:rPr>
          <w:b/>
          <w:lang w:val="en-GB"/>
        </w:rPr>
        <w:t xml:space="preserve">with </w:t>
      </w:r>
      <w:r w:rsidR="003C127C" w:rsidRPr="003C2819">
        <w:rPr>
          <w:b/>
          <w:lang w:val="en-GB"/>
        </w:rPr>
        <w:t>UL CP</w:t>
      </w:r>
      <w:r w:rsidR="00CE2257">
        <w:rPr>
          <w:b/>
          <w:lang w:val="en-GB"/>
        </w:rPr>
        <w:t xml:space="preserve"> ratio</w:t>
      </w:r>
      <w:r w:rsidR="006F40DD" w:rsidRPr="009D3A83">
        <w:rPr>
          <w:b/>
          <w:lang w:val="en-GB"/>
        </w:rPr>
        <w:t>)</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6F40DD" w:rsidRPr="009D3A83" w14:paraId="28529A17" w14:textId="77777777" w:rsidTr="00C762AC">
        <w:trPr>
          <w:trHeight w:val="315"/>
          <w:jc w:val="center"/>
        </w:trPr>
        <w:tc>
          <w:tcPr>
            <w:tcW w:w="2260" w:type="dxa"/>
            <w:shd w:val="clear" w:color="auto" w:fill="auto"/>
            <w:hideMark/>
          </w:tcPr>
          <w:p w14:paraId="56D7EF89" w14:textId="77777777" w:rsidR="006F40DD" w:rsidRPr="009D3A83" w:rsidRDefault="006F40DD" w:rsidP="006F40DD">
            <w:pPr>
              <w:pStyle w:val="BodyText"/>
              <w:rPr>
                <w:b/>
                <w:lang w:val="en-GB"/>
              </w:rPr>
            </w:pPr>
            <w:r w:rsidRPr="009D3A83">
              <w:rPr>
                <w:b/>
                <w:lang w:val="en-GB"/>
              </w:rPr>
              <w:t>UL Sub Carrier Spacing(kHz)</w:t>
            </w:r>
          </w:p>
        </w:tc>
        <w:tc>
          <w:tcPr>
            <w:tcW w:w="982" w:type="dxa"/>
            <w:shd w:val="clear" w:color="auto" w:fill="auto"/>
            <w:vAlign w:val="center"/>
            <w:hideMark/>
          </w:tcPr>
          <w:p w14:paraId="350D395E" w14:textId="77777777" w:rsidR="006F40DD" w:rsidRPr="009D3A83" w:rsidRDefault="006F40DD" w:rsidP="006F40DD">
            <w:pPr>
              <w:pStyle w:val="BodyText"/>
              <w:rPr>
                <w:b/>
              </w:rPr>
            </w:pPr>
            <w:r w:rsidRPr="009D3A83">
              <w:rPr>
                <w:b/>
                <w:lang w:val="en-GB"/>
              </w:rPr>
              <w:t>15</w:t>
            </w:r>
          </w:p>
        </w:tc>
        <w:tc>
          <w:tcPr>
            <w:tcW w:w="1002" w:type="dxa"/>
            <w:shd w:val="clear" w:color="auto" w:fill="auto"/>
            <w:vAlign w:val="center"/>
            <w:hideMark/>
          </w:tcPr>
          <w:p w14:paraId="575E9E2B" w14:textId="77777777" w:rsidR="006F40DD" w:rsidRPr="009D3A83" w:rsidRDefault="006F40DD" w:rsidP="006F40DD">
            <w:pPr>
              <w:pStyle w:val="BodyText"/>
              <w:rPr>
                <w:b/>
              </w:rPr>
            </w:pPr>
            <w:r w:rsidRPr="009D3A83">
              <w:rPr>
                <w:b/>
                <w:lang w:val="en-GB"/>
              </w:rPr>
              <w:t>30</w:t>
            </w:r>
          </w:p>
        </w:tc>
        <w:tc>
          <w:tcPr>
            <w:tcW w:w="992" w:type="dxa"/>
            <w:shd w:val="clear" w:color="auto" w:fill="auto"/>
            <w:vAlign w:val="center"/>
            <w:hideMark/>
          </w:tcPr>
          <w:p w14:paraId="63E6BB59" w14:textId="77777777" w:rsidR="006F40DD" w:rsidRPr="009D3A83" w:rsidRDefault="006F40DD" w:rsidP="006F40DD">
            <w:pPr>
              <w:pStyle w:val="BodyText"/>
              <w:rPr>
                <w:b/>
              </w:rPr>
            </w:pPr>
            <w:r w:rsidRPr="009D3A83">
              <w:rPr>
                <w:b/>
                <w:lang w:val="en-GB"/>
              </w:rPr>
              <w:t>60</w:t>
            </w:r>
          </w:p>
        </w:tc>
        <w:tc>
          <w:tcPr>
            <w:tcW w:w="1134" w:type="dxa"/>
            <w:shd w:val="clear" w:color="auto" w:fill="auto"/>
            <w:vAlign w:val="center"/>
            <w:hideMark/>
          </w:tcPr>
          <w:p w14:paraId="25AE3C78" w14:textId="77777777" w:rsidR="006F40DD" w:rsidRPr="009D3A83" w:rsidRDefault="006F40DD" w:rsidP="006F40DD">
            <w:pPr>
              <w:pStyle w:val="BodyText"/>
              <w:rPr>
                <w:b/>
              </w:rPr>
            </w:pPr>
            <w:r w:rsidRPr="009D3A83">
              <w:rPr>
                <w:b/>
                <w:lang w:val="en-GB"/>
              </w:rPr>
              <w:t>120</w:t>
            </w:r>
          </w:p>
        </w:tc>
      </w:tr>
      <w:tr w:rsidR="006F40DD" w:rsidRPr="009D3A83" w14:paraId="73C86CF2" w14:textId="77777777" w:rsidTr="00C762AC">
        <w:trPr>
          <w:trHeight w:val="525"/>
          <w:jc w:val="center"/>
        </w:trPr>
        <w:tc>
          <w:tcPr>
            <w:tcW w:w="2260" w:type="dxa"/>
            <w:shd w:val="clear" w:color="auto" w:fill="auto"/>
            <w:hideMark/>
          </w:tcPr>
          <w:p w14:paraId="03EE3DAD" w14:textId="77777777" w:rsidR="006F40DD" w:rsidRPr="009D3A83" w:rsidRDefault="006F40DD" w:rsidP="006F40DD">
            <w:pPr>
              <w:pStyle w:val="BodyText"/>
              <w:rPr>
                <w:b/>
                <w:lang w:val="en-GB"/>
              </w:rPr>
            </w:pPr>
            <w:r w:rsidRPr="009D3A83">
              <w:rPr>
                <w:b/>
                <w:lang w:val="en-GB"/>
              </w:rPr>
              <w:t>UE Timing Advance adjustment accuracy</w:t>
            </w:r>
          </w:p>
        </w:tc>
        <w:tc>
          <w:tcPr>
            <w:tcW w:w="982" w:type="dxa"/>
            <w:shd w:val="clear" w:color="auto" w:fill="auto"/>
            <w:vAlign w:val="center"/>
            <w:hideMark/>
          </w:tcPr>
          <w:p w14:paraId="65C0B6BD" w14:textId="77777777" w:rsidR="006F40DD" w:rsidRPr="009D3A83" w:rsidRDefault="006F40DD" w:rsidP="006F40DD">
            <w:pPr>
              <w:pStyle w:val="BodyText"/>
            </w:pPr>
            <w:r w:rsidRPr="009D3A83">
              <w:t>±</w:t>
            </w:r>
            <w:r w:rsidRPr="009D3A83">
              <w:rPr>
                <w:lang w:val="en-GB"/>
              </w:rPr>
              <w:t>256 T</w:t>
            </w:r>
            <w:r w:rsidRPr="009D3A83">
              <w:rPr>
                <w:vertAlign w:val="subscript"/>
                <w:lang w:val="en-GB"/>
              </w:rPr>
              <w:t>c</w:t>
            </w:r>
          </w:p>
        </w:tc>
        <w:tc>
          <w:tcPr>
            <w:tcW w:w="1002" w:type="dxa"/>
            <w:shd w:val="clear" w:color="auto" w:fill="auto"/>
            <w:vAlign w:val="center"/>
            <w:hideMark/>
          </w:tcPr>
          <w:p w14:paraId="2D2F66E6" w14:textId="77777777" w:rsidR="006F40DD" w:rsidRPr="009D3A83" w:rsidRDefault="006F40DD" w:rsidP="006F40DD">
            <w:pPr>
              <w:pStyle w:val="BodyText"/>
            </w:pPr>
            <w:r w:rsidRPr="009D3A83">
              <w:t>±</w:t>
            </w:r>
            <w:r w:rsidRPr="009D3A83">
              <w:rPr>
                <w:lang w:val="en-GB"/>
              </w:rPr>
              <w:t>256 T</w:t>
            </w:r>
            <w:r w:rsidRPr="009D3A83">
              <w:rPr>
                <w:vertAlign w:val="subscript"/>
                <w:lang w:val="en-GB"/>
              </w:rPr>
              <w:t>c</w:t>
            </w:r>
          </w:p>
        </w:tc>
        <w:tc>
          <w:tcPr>
            <w:tcW w:w="992" w:type="dxa"/>
            <w:shd w:val="clear" w:color="auto" w:fill="auto"/>
            <w:vAlign w:val="center"/>
            <w:hideMark/>
          </w:tcPr>
          <w:p w14:paraId="0E8B5129" w14:textId="77777777" w:rsidR="006F40DD" w:rsidRPr="009D3A83" w:rsidRDefault="006F40DD" w:rsidP="006F40DD">
            <w:pPr>
              <w:pStyle w:val="BodyText"/>
            </w:pPr>
            <w:r w:rsidRPr="009D3A83">
              <w:t>±</w:t>
            </w:r>
            <w:r w:rsidRPr="009D3A83">
              <w:rPr>
                <w:lang w:val="en-GB"/>
              </w:rPr>
              <w:t>128 T</w:t>
            </w:r>
            <w:r w:rsidRPr="009D3A83">
              <w:rPr>
                <w:vertAlign w:val="subscript"/>
                <w:lang w:val="en-GB"/>
              </w:rPr>
              <w:t>c</w:t>
            </w:r>
          </w:p>
        </w:tc>
        <w:tc>
          <w:tcPr>
            <w:tcW w:w="1134" w:type="dxa"/>
            <w:shd w:val="clear" w:color="auto" w:fill="auto"/>
            <w:vAlign w:val="center"/>
            <w:hideMark/>
          </w:tcPr>
          <w:p w14:paraId="11B54FF0" w14:textId="77777777" w:rsidR="006F40DD" w:rsidRPr="009D3A83" w:rsidRDefault="006F40DD" w:rsidP="006F40DD">
            <w:pPr>
              <w:pStyle w:val="BodyText"/>
            </w:pPr>
            <w:r w:rsidRPr="009D3A83">
              <w:t>±</w:t>
            </w:r>
            <w:r w:rsidRPr="009D3A83">
              <w:rPr>
                <w:lang w:val="en-GB"/>
              </w:rPr>
              <w:t>32 T</w:t>
            </w:r>
            <w:r w:rsidRPr="009D3A83">
              <w:rPr>
                <w:vertAlign w:val="subscript"/>
                <w:lang w:val="en-GB"/>
              </w:rPr>
              <w:t>c</w:t>
            </w:r>
          </w:p>
        </w:tc>
      </w:tr>
      <w:tr w:rsidR="003C127C" w:rsidRPr="009D3A83" w14:paraId="0EED2128" w14:textId="77777777" w:rsidTr="00C762AC">
        <w:trPr>
          <w:trHeight w:val="525"/>
          <w:jc w:val="center"/>
        </w:trPr>
        <w:tc>
          <w:tcPr>
            <w:tcW w:w="2260" w:type="dxa"/>
            <w:shd w:val="clear" w:color="auto" w:fill="auto"/>
          </w:tcPr>
          <w:p w14:paraId="05ACD0D8" w14:textId="41628662" w:rsidR="003C127C" w:rsidRPr="003C2819" w:rsidRDefault="003C127C" w:rsidP="006F40DD">
            <w:pPr>
              <w:pStyle w:val="BodyText"/>
              <w:rPr>
                <w:b/>
                <w:lang w:val="en-GB"/>
              </w:rPr>
            </w:pPr>
            <w:r w:rsidRPr="003C2819">
              <w:rPr>
                <w:b/>
                <w:lang w:val="en-GB"/>
              </w:rPr>
              <w:t>UE Timing Advance adjustment accuracy [ratio of UL CP]</w:t>
            </w:r>
          </w:p>
        </w:tc>
        <w:tc>
          <w:tcPr>
            <w:tcW w:w="982" w:type="dxa"/>
            <w:shd w:val="clear" w:color="auto" w:fill="auto"/>
            <w:vAlign w:val="center"/>
          </w:tcPr>
          <w:p w14:paraId="51D4B25A" w14:textId="7F66ED8F" w:rsidR="003C127C" w:rsidRPr="003C2819" w:rsidRDefault="003C127C" w:rsidP="006F40DD">
            <w:pPr>
              <w:pStyle w:val="BodyText"/>
            </w:pPr>
            <w:r w:rsidRPr="003C2819">
              <w:t>2.8%</w:t>
            </w:r>
          </w:p>
        </w:tc>
        <w:tc>
          <w:tcPr>
            <w:tcW w:w="1002" w:type="dxa"/>
            <w:shd w:val="clear" w:color="auto" w:fill="auto"/>
            <w:vAlign w:val="center"/>
          </w:tcPr>
          <w:p w14:paraId="67CB1643" w14:textId="103A54AF" w:rsidR="003C127C" w:rsidRPr="009D3A83" w:rsidRDefault="003C127C" w:rsidP="006F40DD">
            <w:pPr>
              <w:pStyle w:val="BodyText"/>
              <w:rPr>
                <w:highlight w:val="yellow"/>
              </w:rPr>
            </w:pPr>
            <w:r w:rsidRPr="009D3A83">
              <w:rPr>
                <w:highlight w:val="yellow"/>
              </w:rPr>
              <w:t>5.6%</w:t>
            </w:r>
          </w:p>
        </w:tc>
        <w:tc>
          <w:tcPr>
            <w:tcW w:w="992" w:type="dxa"/>
            <w:shd w:val="clear" w:color="auto" w:fill="auto"/>
            <w:vAlign w:val="center"/>
          </w:tcPr>
          <w:p w14:paraId="7521F3EF" w14:textId="303D2B87" w:rsidR="003C127C" w:rsidRPr="009D3A83" w:rsidRDefault="003C127C" w:rsidP="006F40DD">
            <w:pPr>
              <w:pStyle w:val="BodyText"/>
              <w:rPr>
                <w:highlight w:val="yellow"/>
              </w:rPr>
            </w:pPr>
            <w:r w:rsidRPr="009D3A83">
              <w:rPr>
                <w:highlight w:val="yellow"/>
              </w:rPr>
              <w:t>5.6%</w:t>
            </w:r>
          </w:p>
        </w:tc>
        <w:tc>
          <w:tcPr>
            <w:tcW w:w="1134" w:type="dxa"/>
            <w:shd w:val="clear" w:color="auto" w:fill="auto"/>
            <w:vAlign w:val="center"/>
          </w:tcPr>
          <w:p w14:paraId="329811BC" w14:textId="75CFF852" w:rsidR="003C127C" w:rsidRPr="003C2819" w:rsidRDefault="003C127C" w:rsidP="006F40DD">
            <w:pPr>
              <w:pStyle w:val="BodyText"/>
            </w:pPr>
            <w:r w:rsidRPr="003C2819">
              <w:t>2.8%</w:t>
            </w:r>
          </w:p>
        </w:tc>
      </w:tr>
    </w:tbl>
    <w:p w14:paraId="6B087A0B" w14:textId="6DF2F832" w:rsidR="006F40DD" w:rsidRPr="009D3A83" w:rsidRDefault="006F40DD" w:rsidP="006F40DD">
      <w:pPr>
        <w:pStyle w:val="BodyText"/>
        <w:rPr>
          <w:lang w:val="en-GB"/>
        </w:rPr>
      </w:pPr>
      <w:r w:rsidRPr="009D3A83">
        <w:rPr>
          <w:lang w:val="en-GB"/>
        </w:rPr>
        <w:br/>
        <w:t>If we extrapolate for possible SCS for the 52.6 GHz to 71 GHz range</w:t>
      </w:r>
      <w:r w:rsidR="00CE2257" w:rsidRPr="003C2819">
        <w:rPr>
          <w:lang w:val="en-GB"/>
        </w:rPr>
        <w:t xml:space="preserve"> assuming </w:t>
      </w:r>
      <w:r w:rsidR="00212167">
        <w:rPr>
          <w:lang w:val="en-GB"/>
        </w:rPr>
        <w:t>an error of 2.8% of</w:t>
      </w:r>
      <w:r w:rsidR="00CE2257">
        <w:rPr>
          <w:lang w:val="en-GB"/>
        </w:rPr>
        <w:t xml:space="preserve"> the </w:t>
      </w:r>
      <w:r w:rsidR="00212167">
        <w:rPr>
          <w:lang w:val="en-GB"/>
        </w:rPr>
        <w:t>UL CP as for 120kHz</w:t>
      </w:r>
      <w:r w:rsidRPr="009D3A83">
        <w:rPr>
          <w:lang w:val="en-GB"/>
        </w:rPr>
        <w:t xml:space="preserve">, we get </w:t>
      </w:r>
      <w:r w:rsidR="00E91C23">
        <w:rPr>
          <w:lang w:val="en-GB"/>
        </w:rPr>
        <w:t xml:space="preserve">the </w:t>
      </w:r>
      <w:r w:rsidR="00E91C23" w:rsidRPr="00E91C23">
        <w:rPr>
          <w:lang w:val="en-GB"/>
        </w:rPr>
        <w:t xml:space="preserve">table in </w:t>
      </w:r>
      <w:r w:rsidR="00E91C23" w:rsidRPr="00E91C23">
        <w:rPr>
          <w:lang w:val="en-GB"/>
        </w:rPr>
        <w:fldChar w:fldCharType="begin"/>
      </w:r>
      <w:r w:rsidR="00E91C23" w:rsidRPr="00E91C23">
        <w:rPr>
          <w:lang w:val="en-GB"/>
        </w:rPr>
        <w:instrText xml:space="preserve"> REF _Ref53051302 \h </w:instrText>
      </w:r>
      <w:r w:rsidR="00E91C23" w:rsidRPr="003C2819">
        <w:rPr>
          <w:lang w:val="en-GB"/>
        </w:rPr>
        <w:instrText xml:space="preserve"> \* MERGEFORMAT </w:instrText>
      </w:r>
      <w:r w:rsidR="00E91C23" w:rsidRPr="00E91C23">
        <w:rPr>
          <w:lang w:val="en-GB"/>
        </w:rPr>
      </w:r>
      <w:r w:rsidR="00E91C23" w:rsidRPr="00E91C23">
        <w:rPr>
          <w:lang w:val="en-GB"/>
        </w:rPr>
        <w:fldChar w:fldCharType="separate"/>
      </w:r>
      <w:r w:rsidR="00BE31F7" w:rsidRPr="00BE31F7">
        <w:t xml:space="preserve">Figure </w:t>
      </w:r>
      <w:r w:rsidR="00BE31F7" w:rsidRPr="00BE31F7">
        <w:rPr>
          <w:noProof/>
        </w:rPr>
        <w:t>32</w:t>
      </w:r>
      <w:r w:rsidR="00E91C23" w:rsidRPr="00E91C23">
        <w:rPr>
          <w:lang w:val="en-GB"/>
        </w:rPr>
        <w:fldChar w:fldCharType="end"/>
      </w:r>
      <w:r w:rsidRPr="009D3A83">
        <w:rPr>
          <w:lang w:val="en-GB"/>
        </w:rPr>
        <w:t xml:space="preserve">: </w:t>
      </w:r>
    </w:p>
    <w:p w14:paraId="3F3EFB32" w14:textId="6BB9F99A" w:rsidR="006F40DD" w:rsidRPr="009D3A83" w:rsidRDefault="003D12C2" w:rsidP="00A604B3">
      <w:pPr>
        <w:pStyle w:val="BodyText"/>
        <w:jc w:val="right"/>
        <w:rPr>
          <w:b/>
          <w:lang w:val="en-GB"/>
        </w:rPr>
      </w:pPr>
      <w:bookmarkStart w:id="166" w:name="_Ref53051302"/>
      <w:r w:rsidRPr="003C2819">
        <w:rPr>
          <w:b/>
          <w:bCs/>
        </w:rPr>
        <w:t xml:space="preserve">Figure </w:t>
      </w:r>
      <w:r>
        <w:rPr>
          <w:b/>
        </w:rPr>
        <w:fldChar w:fldCharType="begin"/>
      </w:r>
      <w:r w:rsidRPr="003D12C2">
        <w:rPr>
          <w:b/>
        </w:rPr>
        <w:instrText xml:space="preserve"> SEQ Figure \* ARABIC </w:instrText>
      </w:r>
      <w:r>
        <w:rPr>
          <w:b/>
        </w:rPr>
        <w:fldChar w:fldCharType="separate"/>
      </w:r>
      <w:r w:rsidR="00BE31F7">
        <w:rPr>
          <w:b/>
          <w:noProof/>
        </w:rPr>
        <w:t>32</w:t>
      </w:r>
      <w:r>
        <w:rPr>
          <w:b/>
        </w:rPr>
        <w:fldChar w:fldCharType="end"/>
      </w:r>
      <w:bookmarkEnd w:id="166"/>
      <w:r w:rsidR="006F40DD" w:rsidRPr="009D3A83">
        <w:rPr>
          <w:b/>
          <w:bCs/>
          <w:lang w:val="en-GB"/>
        </w:rPr>
        <w:t>: UE</w:t>
      </w:r>
      <w:r w:rsidR="006F40DD" w:rsidRPr="009D3A83">
        <w:rPr>
          <w:b/>
          <w:lang w:val="en-GB"/>
        </w:rPr>
        <w:t xml:space="preserve"> Extrapolated Timing Advance adjustment accuracy for 52.6 GHz to 71 GHz range</w:t>
      </w:r>
    </w:p>
    <w:tbl>
      <w:tblPr>
        <w:tblW w:w="5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971"/>
        <w:gridCol w:w="986"/>
        <w:gridCol w:w="977"/>
      </w:tblGrid>
      <w:tr w:rsidR="00C762AC" w:rsidRPr="009D3A83" w14:paraId="235E9EB8" w14:textId="77777777" w:rsidTr="003C2819">
        <w:trPr>
          <w:trHeight w:val="315"/>
          <w:jc w:val="center"/>
        </w:trPr>
        <w:tc>
          <w:tcPr>
            <w:tcW w:w="2231" w:type="dxa"/>
            <w:shd w:val="clear" w:color="auto" w:fill="auto"/>
            <w:hideMark/>
          </w:tcPr>
          <w:p w14:paraId="6E378919" w14:textId="77777777" w:rsidR="00C762AC" w:rsidRPr="009D3A83" w:rsidRDefault="00C762AC" w:rsidP="006F40DD">
            <w:pPr>
              <w:pStyle w:val="BodyText"/>
              <w:rPr>
                <w:b/>
                <w:lang w:val="en-GB"/>
              </w:rPr>
            </w:pPr>
            <w:r w:rsidRPr="009D3A83">
              <w:rPr>
                <w:b/>
                <w:lang w:val="en-GB"/>
              </w:rPr>
              <w:t>UL Sub Carrier Spacing(kHz)</w:t>
            </w:r>
          </w:p>
        </w:tc>
        <w:tc>
          <w:tcPr>
            <w:tcW w:w="971" w:type="dxa"/>
            <w:shd w:val="clear" w:color="auto" w:fill="auto"/>
            <w:vAlign w:val="center"/>
            <w:hideMark/>
          </w:tcPr>
          <w:p w14:paraId="63937F6A" w14:textId="713EB7CA" w:rsidR="00C762AC" w:rsidRPr="009D3A83" w:rsidRDefault="00C762AC" w:rsidP="006F40DD">
            <w:pPr>
              <w:pStyle w:val="BodyText"/>
              <w:rPr>
                <w:b/>
              </w:rPr>
            </w:pPr>
            <w:r w:rsidRPr="009D3A83">
              <w:rPr>
                <w:b/>
              </w:rPr>
              <w:t>240</w:t>
            </w:r>
          </w:p>
        </w:tc>
        <w:tc>
          <w:tcPr>
            <w:tcW w:w="986" w:type="dxa"/>
            <w:shd w:val="clear" w:color="auto" w:fill="auto"/>
            <w:vAlign w:val="center"/>
            <w:hideMark/>
          </w:tcPr>
          <w:p w14:paraId="2C8BDEC0" w14:textId="77777777" w:rsidR="00C762AC" w:rsidRPr="009D3A83" w:rsidRDefault="00C762AC" w:rsidP="006F40DD">
            <w:pPr>
              <w:pStyle w:val="BodyText"/>
              <w:rPr>
                <w:b/>
              </w:rPr>
            </w:pPr>
            <w:r w:rsidRPr="009D3A83">
              <w:rPr>
                <w:b/>
              </w:rPr>
              <w:t>480</w:t>
            </w:r>
          </w:p>
        </w:tc>
        <w:tc>
          <w:tcPr>
            <w:tcW w:w="977" w:type="dxa"/>
            <w:shd w:val="clear" w:color="auto" w:fill="auto"/>
            <w:vAlign w:val="center"/>
            <w:hideMark/>
          </w:tcPr>
          <w:p w14:paraId="0CED2C0B" w14:textId="77777777" w:rsidR="00C762AC" w:rsidRPr="009D3A83" w:rsidRDefault="00C762AC" w:rsidP="006F40DD">
            <w:pPr>
              <w:pStyle w:val="BodyText"/>
              <w:rPr>
                <w:b/>
              </w:rPr>
            </w:pPr>
            <w:r w:rsidRPr="009D3A83">
              <w:rPr>
                <w:b/>
              </w:rPr>
              <w:t>960</w:t>
            </w:r>
          </w:p>
        </w:tc>
      </w:tr>
      <w:tr w:rsidR="00C762AC" w:rsidRPr="009D3A83" w14:paraId="2D30D7B5" w14:textId="77777777" w:rsidTr="003C2819">
        <w:trPr>
          <w:trHeight w:val="525"/>
          <w:jc w:val="center"/>
        </w:trPr>
        <w:tc>
          <w:tcPr>
            <w:tcW w:w="2231" w:type="dxa"/>
            <w:shd w:val="clear" w:color="auto" w:fill="auto"/>
            <w:hideMark/>
          </w:tcPr>
          <w:p w14:paraId="7FFBBA68" w14:textId="77777777" w:rsidR="00C762AC" w:rsidRPr="009D3A83" w:rsidRDefault="00C762AC" w:rsidP="006F40DD">
            <w:pPr>
              <w:pStyle w:val="BodyText"/>
              <w:rPr>
                <w:b/>
                <w:lang w:val="en-GB"/>
              </w:rPr>
            </w:pPr>
            <w:r w:rsidRPr="009D3A83">
              <w:rPr>
                <w:b/>
                <w:lang w:val="en-GB"/>
              </w:rPr>
              <w:t>UE Timing Advance adjustment accuracy</w:t>
            </w:r>
          </w:p>
        </w:tc>
        <w:tc>
          <w:tcPr>
            <w:tcW w:w="971" w:type="dxa"/>
            <w:shd w:val="clear" w:color="auto" w:fill="auto"/>
            <w:vAlign w:val="center"/>
            <w:hideMark/>
          </w:tcPr>
          <w:p w14:paraId="772B1626" w14:textId="77777777" w:rsidR="00C762AC" w:rsidRPr="009D3A83" w:rsidRDefault="00C762AC" w:rsidP="006F40DD">
            <w:pPr>
              <w:pStyle w:val="BodyText"/>
            </w:pPr>
            <w:r w:rsidRPr="009D3A83">
              <w:t>±16</w:t>
            </w:r>
            <w:r w:rsidRPr="009D3A83">
              <w:rPr>
                <w:lang w:val="en-GB"/>
              </w:rPr>
              <w:t xml:space="preserve"> T</w:t>
            </w:r>
            <w:r w:rsidRPr="009D3A83">
              <w:rPr>
                <w:vertAlign w:val="subscript"/>
                <w:lang w:val="en-GB"/>
              </w:rPr>
              <w:t>c</w:t>
            </w:r>
          </w:p>
        </w:tc>
        <w:tc>
          <w:tcPr>
            <w:tcW w:w="986" w:type="dxa"/>
            <w:shd w:val="clear" w:color="auto" w:fill="auto"/>
            <w:vAlign w:val="center"/>
            <w:hideMark/>
          </w:tcPr>
          <w:p w14:paraId="4AFD9F13" w14:textId="77777777" w:rsidR="00C762AC" w:rsidRPr="009D3A83" w:rsidRDefault="00C762AC" w:rsidP="006F40DD">
            <w:pPr>
              <w:pStyle w:val="BodyText"/>
            </w:pPr>
            <w:r w:rsidRPr="009D3A83">
              <w:t>±8</w:t>
            </w:r>
            <w:r w:rsidRPr="009D3A83">
              <w:rPr>
                <w:lang w:val="en-GB"/>
              </w:rPr>
              <w:t xml:space="preserve"> T</w:t>
            </w:r>
            <w:r w:rsidRPr="009D3A83">
              <w:rPr>
                <w:vertAlign w:val="subscript"/>
                <w:lang w:val="en-GB"/>
              </w:rPr>
              <w:t>c</w:t>
            </w:r>
          </w:p>
        </w:tc>
        <w:tc>
          <w:tcPr>
            <w:tcW w:w="977" w:type="dxa"/>
            <w:shd w:val="clear" w:color="auto" w:fill="auto"/>
            <w:vAlign w:val="center"/>
            <w:hideMark/>
          </w:tcPr>
          <w:p w14:paraId="7ECC6BB3" w14:textId="77777777" w:rsidR="00C762AC" w:rsidRPr="009D3A83" w:rsidRDefault="00C762AC" w:rsidP="006F40DD">
            <w:pPr>
              <w:pStyle w:val="BodyText"/>
            </w:pPr>
            <w:r w:rsidRPr="009D3A83">
              <w:t>±4</w:t>
            </w:r>
            <w:r w:rsidRPr="009D3A83">
              <w:rPr>
                <w:lang w:val="en-GB"/>
              </w:rPr>
              <w:t xml:space="preserve"> T</w:t>
            </w:r>
            <w:r w:rsidRPr="009D3A83">
              <w:rPr>
                <w:vertAlign w:val="subscript"/>
                <w:lang w:val="en-GB"/>
              </w:rPr>
              <w:t>c</w:t>
            </w:r>
          </w:p>
        </w:tc>
      </w:tr>
      <w:tr w:rsidR="003C127C" w:rsidRPr="009D3A83" w14:paraId="780ADC45" w14:textId="77777777" w:rsidTr="00C762AC">
        <w:trPr>
          <w:trHeight w:val="525"/>
          <w:jc w:val="center"/>
        </w:trPr>
        <w:tc>
          <w:tcPr>
            <w:tcW w:w="2231" w:type="dxa"/>
            <w:shd w:val="clear" w:color="auto" w:fill="auto"/>
          </w:tcPr>
          <w:p w14:paraId="7BF99E82" w14:textId="53B12945" w:rsidR="003C127C" w:rsidRPr="003C2819" w:rsidRDefault="003C127C" w:rsidP="006F40DD">
            <w:pPr>
              <w:pStyle w:val="BodyText"/>
              <w:rPr>
                <w:b/>
                <w:lang w:val="en-GB"/>
              </w:rPr>
            </w:pPr>
            <w:r w:rsidRPr="003C2819">
              <w:rPr>
                <w:b/>
                <w:lang w:val="en-GB"/>
              </w:rPr>
              <w:t>UE Timing Advance adjustment accuracy [ratio of UL CP]</w:t>
            </w:r>
          </w:p>
        </w:tc>
        <w:tc>
          <w:tcPr>
            <w:tcW w:w="971" w:type="dxa"/>
            <w:shd w:val="clear" w:color="auto" w:fill="auto"/>
            <w:vAlign w:val="center"/>
          </w:tcPr>
          <w:p w14:paraId="3242ED1E" w14:textId="4D391010" w:rsidR="003C127C" w:rsidRPr="003C2819" w:rsidRDefault="003C127C" w:rsidP="006F40DD">
            <w:pPr>
              <w:pStyle w:val="BodyText"/>
            </w:pPr>
            <w:r w:rsidRPr="003C2819">
              <w:t>2.8%</w:t>
            </w:r>
          </w:p>
        </w:tc>
        <w:tc>
          <w:tcPr>
            <w:tcW w:w="986" w:type="dxa"/>
            <w:shd w:val="clear" w:color="auto" w:fill="auto"/>
            <w:vAlign w:val="center"/>
          </w:tcPr>
          <w:p w14:paraId="4C8F7688" w14:textId="5FFAA657" w:rsidR="003C127C" w:rsidRPr="003C2819" w:rsidRDefault="003C127C" w:rsidP="006F40DD">
            <w:pPr>
              <w:pStyle w:val="BodyText"/>
            </w:pPr>
            <w:r w:rsidRPr="003C2819">
              <w:t>2.8%</w:t>
            </w:r>
          </w:p>
        </w:tc>
        <w:tc>
          <w:tcPr>
            <w:tcW w:w="977" w:type="dxa"/>
            <w:shd w:val="clear" w:color="auto" w:fill="auto"/>
            <w:vAlign w:val="center"/>
          </w:tcPr>
          <w:p w14:paraId="36C3290E" w14:textId="3CE73857" w:rsidR="003C127C" w:rsidRPr="003C2819" w:rsidRDefault="003C127C" w:rsidP="006F40DD">
            <w:pPr>
              <w:pStyle w:val="BodyText"/>
            </w:pPr>
            <w:r w:rsidRPr="003C2819">
              <w:t>2.8%</w:t>
            </w:r>
          </w:p>
        </w:tc>
      </w:tr>
    </w:tbl>
    <w:p w14:paraId="45CFFD25" w14:textId="77777777" w:rsidR="006F40DD" w:rsidRPr="009D3A83" w:rsidRDefault="006F40DD" w:rsidP="006F40DD">
      <w:pPr>
        <w:pStyle w:val="BodyText"/>
        <w:rPr>
          <w:lang w:val="en-GB"/>
        </w:rPr>
      </w:pPr>
    </w:p>
    <w:p w14:paraId="248EF4AA" w14:textId="77A220F1" w:rsidR="00CE2257" w:rsidRPr="003C2819" w:rsidRDefault="00CE2257" w:rsidP="006F40DD">
      <w:pPr>
        <w:pStyle w:val="BodyText"/>
        <w:rPr>
          <w:lang w:val="en-GB"/>
        </w:rPr>
      </w:pPr>
      <w:r w:rsidRPr="003C2819">
        <w:rPr>
          <w:lang w:val="en-GB"/>
        </w:rPr>
        <w:t>Similar as for the initial timing accuracy we can make the following observation</w:t>
      </w:r>
      <w:r w:rsidR="00D5031A">
        <w:rPr>
          <w:lang w:val="en-GB"/>
        </w:rPr>
        <w:t>:</w:t>
      </w:r>
    </w:p>
    <w:p w14:paraId="415BDB88" w14:textId="36D5F349" w:rsidR="00CE2257" w:rsidRPr="003C2819" w:rsidRDefault="00CE2257" w:rsidP="003C2819">
      <w:pPr>
        <w:pStyle w:val="Observation"/>
        <w:rPr>
          <w:lang w:val="en-GB"/>
        </w:rPr>
      </w:pPr>
      <w:bookmarkStart w:id="167" w:name="_Toc53775922"/>
      <w:r w:rsidRPr="009D3A83">
        <w:t xml:space="preserve">A higher UL SCS puts tighter requirements on </w:t>
      </w:r>
      <w:r w:rsidR="00731ABB">
        <w:t xml:space="preserve">the absolute </w:t>
      </w:r>
      <w:r w:rsidRPr="009D3A83">
        <w:t>UE UL timing advance adjustment accuracy.</w:t>
      </w:r>
      <w:bookmarkEnd w:id="167"/>
    </w:p>
    <w:p w14:paraId="6D8236C7" w14:textId="77777777" w:rsidR="00CE2257" w:rsidRDefault="00CE2257" w:rsidP="006F40DD">
      <w:pPr>
        <w:pStyle w:val="BodyText"/>
        <w:rPr>
          <w:highlight w:val="yellow"/>
          <w:lang w:val="en-GB"/>
        </w:rPr>
      </w:pPr>
    </w:p>
    <w:p w14:paraId="39BD9511" w14:textId="1CDF8AF9" w:rsidR="00D5031A" w:rsidRPr="003C2819" w:rsidRDefault="00D5031A" w:rsidP="006F40DD">
      <w:pPr>
        <w:pStyle w:val="BodyText"/>
        <w:rPr>
          <w:lang w:val="en-GB"/>
        </w:rPr>
      </w:pPr>
      <w:r w:rsidRPr="003C2819">
        <w:rPr>
          <w:lang w:val="en-GB"/>
        </w:rPr>
        <w:t>Now l</w:t>
      </w:r>
      <w:r w:rsidR="006F40DD" w:rsidRPr="009D3A83">
        <w:rPr>
          <w:lang w:val="en-GB"/>
        </w:rPr>
        <w:t>et</w:t>
      </w:r>
      <w:r w:rsidR="009D3A83">
        <w:rPr>
          <w:lang w:val="en-GB"/>
        </w:rPr>
        <w:t>’s</w:t>
      </w:r>
      <w:r w:rsidR="006F40DD" w:rsidRPr="009D3A83">
        <w:rPr>
          <w:lang w:val="en-GB"/>
        </w:rPr>
        <w:t xml:space="preserve"> </w:t>
      </w:r>
      <w:r w:rsidR="009D3A83">
        <w:rPr>
          <w:lang w:val="en-GB"/>
        </w:rPr>
        <w:t xml:space="preserve">examine </w:t>
      </w:r>
      <w:r w:rsidR="006F40DD" w:rsidRPr="009D3A83">
        <w:rPr>
          <w:lang w:val="en-GB"/>
        </w:rPr>
        <w:t>the case of SCS = 960 kHz</w:t>
      </w:r>
      <w:r w:rsidRPr="003C2819">
        <w:rPr>
          <w:lang w:val="en-GB"/>
        </w:rPr>
        <w:t xml:space="preserve"> </w:t>
      </w:r>
      <w:r w:rsidRPr="003C2819">
        <w:rPr>
          <w:u w:val="single"/>
          <w:lang w:val="en-GB"/>
        </w:rPr>
        <w:t>assuming that the three timing accuracies scale with the sub-carrier spacing</w:t>
      </w:r>
      <w:r w:rsidRPr="003C2819">
        <w:rPr>
          <w:lang w:val="en-GB"/>
        </w:rPr>
        <w:t xml:space="preserve"> as discussed above</w:t>
      </w:r>
      <w:r w:rsidR="00731ABB">
        <w:rPr>
          <w:lang w:val="en-GB"/>
        </w:rPr>
        <w:t>.</w:t>
      </w:r>
    </w:p>
    <w:p w14:paraId="4A2BF0BD" w14:textId="6F22D652" w:rsidR="006F40DD" w:rsidRPr="009D3A83" w:rsidRDefault="00143E39" w:rsidP="006F40DD">
      <w:pPr>
        <w:pStyle w:val="BodyText"/>
        <w:rPr>
          <w:b/>
          <w:lang w:val="en-GB"/>
        </w:rPr>
      </w:pPr>
      <w:bookmarkStart w:id="168" w:name="_Ref53052442"/>
      <w:r w:rsidRPr="009D3A83">
        <w:rPr>
          <w:b/>
          <w:bCs/>
        </w:rPr>
        <w:t xml:space="preserve">Figure </w:t>
      </w:r>
      <w:r w:rsidRPr="009D3A83">
        <w:rPr>
          <w:b/>
          <w:bCs/>
        </w:rPr>
        <w:fldChar w:fldCharType="begin"/>
      </w:r>
      <w:r w:rsidRPr="009D3A83">
        <w:rPr>
          <w:b/>
          <w:bCs/>
        </w:rPr>
        <w:instrText xml:space="preserve"> SEQ Figure \* ARABIC </w:instrText>
      </w:r>
      <w:r w:rsidRPr="009D3A83">
        <w:rPr>
          <w:b/>
          <w:bCs/>
        </w:rPr>
        <w:fldChar w:fldCharType="separate"/>
      </w:r>
      <w:r w:rsidR="00BE31F7">
        <w:rPr>
          <w:b/>
          <w:bCs/>
          <w:noProof/>
        </w:rPr>
        <w:t>33</w:t>
      </w:r>
      <w:r w:rsidRPr="009D3A83">
        <w:rPr>
          <w:b/>
          <w:bCs/>
          <w:noProof/>
        </w:rPr>
        <w:fldChar w:fldCharType="end"/>
      </w:r>
      <w:bookmarkEnd w:id="168"/>
      <w:r w:rsidR="006F40DD" w:rsidRPr="009D3A83">
        <w:rPr>
          <w:b/>
          <w:lang w:val="en-GB"/>
        </w:rPr>
        <w:t xml:space="preserve">: </w:t>
      </w:r>
      <w:r w:rsidR="009D3A83">
        <w:rPr>
          <w:b/>
          <w:lang w:val="en-GB"/>
        </w:rPr>
        <w:t xml:space="preserve">Scaled </w:t>
      </w:r>
      <w:r w:rsidR="006F40DD" w:rsidRPr="009D3A83">
        <w:rPr>
          <w:b/>
          <w:lang w:val="en-GB"/>
        </w:rPr>
        <w:t>UL timing errors</w:t>
      </w:r>
      <w:r w:rsidRPr="003C2819">
        <w:rPr>
          <w:b/>
          <w:lang w:val="en-GB"/>
        </w:rPr>
        <w:t xml:space="preserve"> for 960 kHz SCS</w:t>
      </w:r>
    </w:p>
    <w:tbl>
      <w:tblPr>
        <w:tblStyle w:val="TableGrid"/>
        <w:tblW w:w="0" w:type="auto"/>
        <w:tblLook w:val="04A0" w:firstRow="1" w:lastRow="0" w:firstColumn="1" w:lastColumn="0" w:noHBand="0" w:noVBand="1"/>
      </w:tblPr>
      <w:tblGrid>
        <w:gridCol w:w="3210"/>
        <w:gridCol w:w="3209"/>
        <w:gridCol w:w="3210"/>
      </w:tblGrid>
      <w:tr w:rsidR="006F40DD" w:rsidRPr="009D3A83" w14:paraId="371BD706" w14:textId="77777777" w:rsidTr="003D12C2">
        <w:tc>
          <w:tcPr>
            <w:tcW w:w="3210" w:type="dxa"/>
          </w:tcPr>
          <w:p w14:paraId="12BF4F8A" w14:textId="10AC5039" w:rsidR="006F40DD" w:rsidRPr="009D3A83" w:rsidRDefault="006F40DD" w:rsidP="006F40DD">
            <w:pPr>
              <w:pStyle w:val="BodyText"/>
              <w:rPr>
                <w:lang w:val="en-GB"/>
              </w:rPr>
            </w:pPr>
          </w:p>
        </w:tc>
        <w:tc>
          <w:tcPr>
            <w:tcW w:w="3209" w:type="dxa"/>
          </w:tcPr>
          <w:p w14:paraId="505B228B" w14:textId="77777777" w:rsidR="006F40DD" w:rsidRPr="009D3A83" w:rsidRDefault="006F40DD" w:rsidP="006F40DD">
            <w:pPr>
              <w:pStyle w:val="BodyText"/>
              <w:rPr>
                <w:lang w:val="en-GB"/>
              </w:rPr>
            </w:pPr>
            <w:r w:rsidRPr="009D3A83">
              <w:rPr>
                <w:lang w:val="en-GB"/>
              </w:rPr>
              <w:t xml:space="preserve"> </w:t>
            </w:r>
          </w:p>
        </w:tc>
        <w:tc>
          <w:tcPr>
            <w:tcW w:w="3210" w:type="dxa"/>
          </w:tcPr>
          <w:p w14:paraId="53491E4A" w14:textId="77777777" w:rsidR="006F40DD" w:rsidRPr="009D3A83" w:rsidRDefault="006F40DD" w:rsidP="006F40DD">
            <w:pPr>
              <w:pStyle w:val="BodyText"/>
              <w:rPr>
                <w:lang w:val="en-GB"/>
              </w:rPr>
            </w:pPr>
            <w:r w:rsidRPr="009D3A83">
              <w:rPr>
                <w:lang w:val="en-GB"/>
              </w:rPr>
              <w:t xml:space="preserve">Comment </w:t>
            </w:r>
          </w:p>
        </w:tc>
      </w:tr>
      <w:tr w:rsidR="006F40DD" w:rsidRPr="009D3A83" w14:paraId="77966835" w14:textId="77777777" w:rsidTr="003D12C2">
        <w:tc>
          <w:tcPr>
            <w:tcW w:w="3210" w:type="dxa"/>
          </w:tcPr>
          <w:p w14:paraId="4214C85D" w14:textId="00C02E56" w:rsidR="006F40DD" w:rsidRPr="009D3A83" w:rsidRDefault="006F40DD" w:rsidP="006F40DD">
            <w:pPr>
              <w:pStyle w:val="BodyText"/>
              <w:rPr>
                <w:lang w:val="en-GB"/>
              </w:rPr>
            </w:pPr>
            <w:r w:rsidRPr="009D3A83">
              <w:rPr>
                <w:lang w:val="en-GB"/>
              </w:rPr>
              <w:t>Ratio 960k</w:t>
            </w:r>
            <w:r w:rsidR="00143E39" w:rsidRPr="003C2819">
              <w:rPr>
                <w:lang w:val="en-GB"/>
              </w:rPr>
              <w:t>/15k</w:t>
            </w:r>
          </w:p>
        </w:tc>
        <w:tc>
          <w:tcPr>
            <w:tcW w:w="3209" w:type="dxa"/>
          </w:tcPr>
          <w:p w14:paraId="325760B1" w14:textId="77777777" w:rsidR="006F40DD" w:rsidRPr="009D3A83" w:rsidRDefault="006F40DD" w:rsidP="006F40DD">
            <w:pPr>
              <w:pStyle w:val="BodyText"/>
              <w:rPr>
                <w:lang w:val="en-GB"/>
              </w:rPr>
            </w:pPr>
            <w:r w:rsidRPr="009D3A83">
              <w:rPr>
                <w:lang w:val="en-GB"/>
              </w:rPr>
              <w:t>64</w:t>
            </w:r>
          </w:p>
        </w:tc>
        <w:tc>
          <w:tcPr>
            <w:tcW w:w="3210" w:type="dxa"/>
          </w:tcPr>
          <w:p w14:paraId="5D253606" w14:textId="77777777" w:rsidR="006F40DD" w:rsidRPr="009D3A83" w:rsidRDefault="006F40DD" w:rsidP="006F40DD">
            <w:pPr>
              <w:pStyle w:val="BodyText"/>
              <w:rPr>
                <w:lang w:val="en-GB"/>
              </w:rPr>
            </w:pPr>
            <w:r w:rsidRPr="009D3A83">
              <w:rPr>
                <w:lang w:val="en-GB"/>
              </w:rPr>
              <w:t xml:space="preserve"> </w:t>
            </w:r>
          </w:p>
        </w:tc>
      </w:tr>
      <w:tr w:rsidR="006F40DD" w:rsidRPr="009D3A83" w14:paraId="5F0A51BE" w14:textId="77777777" w:rsidTr="003D12C2">
        <w:tc>
          <w:tcPr>
            <w:tcW w:w="3210" w:type="dxa"/>
          </w:tcPr>
          <w:p w14:paraId="6028A5E6" w14:textId="289A8FEB" w:rsidR="006F40DD" w:rsidRPr="009D3A83" w:rsidRDefault="00143E39" w:rsidP="006F40DD">
            <w:pPr>
              <w:pStyle w:val="BodyText"/>
              <w:rPr>
                <w:lang w:val="en-GB"/>
              </w:rPr>
            </w:pPr>
            <w:r>
              <w:rPr>
                <w:lang w:val="en-GB"/>
              </w:rPr>
              <w:t xml:space="preserve">Scaled </w:t>
            </w:r>
            <w:proofErr w:type="spellStart"/>
            <w:r w:rsidR="006F40DD" w:rsidRPr="009D3A83">
              <w:rPr>
                <w:lang w:val="en-GB"/>
              </w:rPr>
              <w:t>T</w:t>
            </w:r>
            <w:r w:rsidR="006F40DD" w:rsidRPr="009D3A83">
              <w:rPr>
                <w:vertAlign w:val="subscript"/>
                <w:lang w:val="en-GB"/>
              </w:rPr>
              <w:t>e</w:t>
            </w:r>
            <w:proofErr w:type="spellEnd"/>
            <w:r w:rsidR="006F40DD" w:rsidRPr="009D3A83">
              <w:rPr>
                <w:lang w:val="en-GB"/>
              </w:rPr>
              <w:t xml:space="preserve"> </w:t>
            </w:r>
          </w:p>
        </w:tc>
        <w:tc>
          <w:tcPr>
            <w:tcW w:w="3209" w:type="dxa"/>
          </w:tcPr>
          <w:p w14:paraId="12715115" w14:textId="27DF572E" w:rsidR="006F40DD" w:rsidRPr="009D3A83" w:rsidRDefault="00082124" w:rsidP="006F40DD">
            <w:pPr>
              <w:pStyle w:val="BodyText"/>
              <w:rPr>
                <w:lang w:val="en-GB"/>
              </w:rPr>
            </w:pPr>
            <w:r w:rsidRPr="003C2819">
              <w:rPr>
                <w:lang w:val="en-GB"/>
              </w:rPr>
              <w:t>1</w:t>
            </w:r>
            <w:r w:rsidR="006F40DD" w:rsidRPr="009D3A83">
              <w:rPr>
                <w:lang w:val="en-GB"/>
              </w:rPr>
              <w:t>6.</w:t>
            </w:r>
            <w:r w:rsidRPr="003C2819">
              <w:rPr>
                <w:lang w:val="en-GB"/>
              </w:rPr>
              <w:t>276</w:t>
            </w:r>
            <w:r w:rsidR="006F40DD" w:rsidRPr="009D3A83">
              <w:rPr>
                <w:lang w:val="en-GB"/>
              </w:rPr>
              <w:t xml:space="preserve"> ns</w:t>
            </w:r>
            <w:r w:rsidR="00D5031A" w:rsidRPr="003C2819">
              <w:rPr>
                <w:lang w:val="en-GB"/>
              </w:rPr>
              <w:t xml:space="preserve"> (0.5 Ts</w:t>
            </w:r>
            <w:r w:rsidRPr="003C2819">
              <w:rPr>
                <w:lang w:val="en-GB"/>
              </w:rPr>
              <w:t xml:space="preserve"> = 32 Tc</w:t>
            </w:r>
            <w:r w:rsidR="00D5031A" w:rsidRPr="003C2819">
              <w:rPr>
                <w:lang w:val="en-GB"/>
              </w:rPr>
              <w:t>)</w:t>
            </w:r>
          </w:p>
        </w:tc>
        <w:tc>
          <w:tcPr>
            <w:tcW w:w="3210" w:type="dxa"/>
          </w:tcPr>
          <w:p w14:paraId="20405505" w14:textId="76D709ED" w:rsidR="006F40DD" w:rsidRPr="009D3A83" w:rsidRDefault="006F40DD" w:rsidP="006F40DD">
            <w:pPr>
              <w:pStyle w:val="BodyText"/>
              <w:rPr>
                <w:lang w:val="en-GB"/>
              </w:rPr>
            </w:pPr>
            <w:r w:rsidRPr="009D3A83">
              <w:rPr>
                <w:lang w:val="en-GB"/>
              </w:rPr>
              <w:t xml:space="preserve"> </w:t>
            </w:r>
            <w:r w:rsidR="003D12C2" w:rsidRPr="003C2819">
              <w:rPr>
                <w:lang w:val="en-GB"/>
              </w:rPr>
              <w:fldChar w:fldCharType="begin"/>
            </w:r>
            <w:r w:rsidR="003D12C2" w:rsidRPr="003C2819">
              <w:rPr>
                <w:lang w:val="en-GB"/>
              </w:rPr>
              <w:instrText xml:space="preserve"> REF _Ref53051254 \h </w:instrText>
            </w:r>
            <w:r w:rsidR="00143E39">
              <w:rPr>
                <w:lang w:val="en-GB"/>
              </w:rPr>
              <w:instrText xml:space="preserve"> \* MERGEFORMAT </w:instrText>
            </w:r>
            <w:r w:rsidR="003D12C2" w:rsidRPr="003C2819">
              <w:rPr>
                <w:lang w:val="en-GB"/>
              </w:rPr>
            </w:r>
            <w:r w:rsidR="003D12C2" w:rsidRPr="003C2819">
              <w:rPr>
                <w:lang w:val="en-GB"/>
              </w:rPr>
              <w:fldChar w:fldCharType="separate"/>
            </w:r>
            <w:r w:rsidR="00BE31F7" w:rsidRPr="00F676BA">
              <w:rPr>
                <w:lang w:val="en-US"/>
              </w:rPr>
              <w:t xml:space="preserve">Figure </w:t>
            </w:r>
            <w:r w:rsidR="00BE31F7">
              <w:rPr>
                <w:noProof/>
              </w:rPr>
              <w:t>30</w:t>
            </w:r>
            <w:r w:rsidR="003D12C2" w:rsidRPr="003C2819">
              <w:rPr>
                <w:lang w:val="en-GB"/>
              </w:rPr>
              <w:fldChar w:fldCharType="end"/>
            </w:r>
          </w:p>
        </w:tc>
      </w:tr>
      <w:tr w:rsidR="006F40DD" w:rsidRPr="009D3A83" w14:paraId="3530B262" w14:textId="77777777" w:rsidTr="003D12C2">
        <w:tc>
          <w:tcPr>
            <w:tcW w:w="3210" w:type="dxa"/>
          </w:tcPr>
          <w:p w14:paraId="29EED751" w14:textId="37E81822" w:rsidR="006F40DD" w:rsidRPr="009D3A83" w:rsidRDefault="00143E39" w:rsidP="006F40DD">
            <w:pPr>
              <w:pStyle w:val="BodyText"/>
              <w:rPr>
                <w:lang w:val="en-GB"/>
              </w:rPr>
            </w:pPr>
            <w:r>
              <w:rPr>
                <w:lang w:val="en-GB"/>
              </w:rPr>
              <w:lastRenderedPageBreak/>
              <w:t xml:space="preserve">Scaled </w:t>
            </w:r>
            <w:r w:rsidR="006F40DD" w:rsidRPr="009D3A83">
              <w:rPr>
                <w:lang w:val="en-GB"/>
              </w:rPr>
              <w:t>TA setting error</w:t>
            </w:r>
          </w:p>
        </w:tc>
        <w:tc>
          <w:tcPr>
            <w:tcW w:w="3209" w:type="dxa"/>
          </w:tcPr>
          <w:p w14:paraId="4AC70A7A" w14:textId="613858E1" w:rsidR="006F40DD" w:rsidRPr="009D3A83" w:rsidRDefault="006F40DD" w:rsidP="006F40DD">
            <w:pPr>
              <w:pStyle w:val="BodyText"/>
              <w:rPr>
                <w:lang w:val="en-GB"/>
              </w:rPr>
            </w:pPr>
            <w:r w:rsidRPr="009D3A83">
              <w:rPr>
                <w:lang w:val="en-GB"/>
              </w:rPr>
              <w:t>2.035 ns</w:t>
            </w:r>
            <w:r w:rsidR="00082124" w:rsidRPr="003C2819">
              <w:rPr>
                <w:lang w:val="en-GB"/>
              </w:rPr>
              <w:t xml:space="preserve"> (4 Tc)</w:t>
            </w:r>
          </w:p>
        </w:tc>
        <w:tc>
          <w:tcPr>
            <w:tcW w:w="3210" w:type="dxa"/>
          </w:tcPr>
          <w:p w14:paraId="50E9D22C" w14:textId="06456851" w:rsidR="006F40DD" w:rsidRPr="009D3A83" w:rsidRDefault="006F40DD" w:rsidP="006F40DD">
            <w:pPr>
              <w:pStyle w:val="BodyText"/>
              <w:rPr>
                <w:lang w:val="en-GB"/>
              </w:rPr>
            </w:pPr>
            <w:r w:rsidRPr="009D3A83">
              <w:rPr>
                <w:lang w:val="en-GB"/>
              </w:rPr>
              <w:t xml:space="preserve"> 256*T</w:t>
            </w:r>
            <w:r w:rsidRPr="009D3A83">
              <w:rPr>
                <w:vertAlign w:val="subscript"/>
                <w:lang w:val="en-GB"/>
              </w:rPr>
              <w:t>c</w:t>
            </w:r>
            <w:r w:rsidRPr="009D3A83">
              <w:rPr>
                <w:lang w:val="en-GB"/>
              </w:rPr>
              <w:t>/64 (</w:t>
            </w:r>
            <w:r w:rsidR="003D12C2" w:rsidRPr="003C2819">
              <w:rPr>
                <w:lang w:val="en-GB"/>
              </w:rPr>
              <w:fldChar w:fldCharType="begin"/>
            </w:r>
            <w:r w:rsidR="003D12C2" w:rsidRPr="003C2819">
              <w:rPr>
                <w:lang w:val="en-GB"/>
              </w:rPr>
              <w:instrText xml:space="preserve"> REF _Ref53051276 \h </w:instrText>
            </w:r>
            <w:r w:rsidR="00143E39" w:rsidRPr="00E612C8">
              <w:rPr>
                <w:lang w:val="en-GB"/>
              </w:rPr>
              <w:instrText xml:space="preserve"> \* MERGEFORMAT </w:instrText>
            </w:r>
            <w:r w:rsidR="003D12C2" w:rsidRPr="003C2819">
              <w:rPr>
                <w:lang w:val="en-GB"/>
              </w:rPr>
            </w:r>
            <w:r w:rsidR="003D12C2" w:rsidRPr="003C2819">
              <w:rPr>
                <w:lang w:val="en-GB"/>
              </w:rPr>
              <w:fldChar w:fldCharType="separate"/>
            </w:r>
            <w:r w:rsidR="00BE31F7" w:rsidRPr="00BE31F7">
              <w:t xml:space="preserve">Figure </w:t>
            </w:r>
            <w:r w:rsidR="00BE31F7" w:rsidRPr="00BE31F7">
              <w:rPr>
                <w:noProof/>
              </w:rPr>
              <w:t>31</w:t>
            </w:r>
            <w:r w:rsidR="003D12C2" w:rsidRPr="003C2819">
              <w:rPr>
                <w:lang w:val="en-GB"/>
              </w:rPr>
              <w:fldChar w:fldCharType="end"/>
            </w:r>
            <w:r w:rsidRPr="00E612C8">
              <w:rPr>
                <w:lang w:val="en-GB"/>
              </w:rPr>
              <w:t>)</w:t>
            </w:r>
          </w:p>
        </w:tc>
      </w:tr>
      <w:tr w:rsidR="006F40DD" w:rsidRPr="009D3A83" w14:paraId="11658A78" w14:textId="77777777" w:rsidTr="003D12C2">
        <w:tc>
          <w:tcPr>
            <w:tcW w:w="3210" w:type="dxa"/>
          </w:tcPr>
          <w:p w14:paraId="28382F9F" w14:textId="7296404B" w:rsidR="006F40DD" w:rsidRPr="009D3A83" w:rsidRDefault="00143E39" w:rsidP="006F40DD">
            <w:pPr>
              <w:pStyle w:val="BodyText"/>
              <w:rPr>
                <w:lang w:val="en-GB"/>
              </w:rPr>
            </w:pPr>
            <w:r>
              <w:rPr>
                <w:lang w:val="en-GB"/>
              </w:rPr>
              <w:t xml:space="preserve">Scaled </w:t>
            </w:r>
            <w:r w:rsidR="006F40DD" w:rsidRPr="009D3A83">
              <w:rPr>
                <w:lang w:val="en-GB"/>
              </w:rPr>
              <w:t>TA resolution error scaling</w:t>
            </w:r>
          </w:p>
        </w:tc>
        <w:tc>
          <w:tcPr>
            <w:tcW w:w="3209" w:type="dxa"/>
          </w:tcPr>
          <w:p w14:paraId="0E87AE52" w14:textId="76C5D8A5" w:rsidR="006F40DD" w:rsidRPr="009D3A83" w:rsidRDefault="006F40DD" w:rsidP="006F40DD">
            <w:pPr>
              <w:pStyle w:val="BodyText"/>
              <w:rPr>
                <w:lang w:val="en-GB"/>
              </w:rPr>
            </w:pPr>
            <w:r w:rsidRPr="009D3A83">
              <w:rPr>
                <w:lang w:val="en-GB"/>
              </w:rPr>
              <w:t>4.069 ns</w:t>
            </w:r>
            <w:r w:rsidR="00082124" w:rsidRPr="003C2819">
              <w:rPr>
                <w:lang w:val="en-GB"/>
              </w:rPr>
              <w:t xml:space="preserve"> (8 Tc)</w:t>
            </w:r>
          </w:p>
        </w:tc>
        <w:tc>
          <w:tcPr>
            <w:tcW w:w="3210" w:type="dxa"/>
          </w:tcPr>
          <w:p w14:paraId="0637452D" w14:textId="6A6927DF" w:rsidR="006F40DD" w:rsidRPr="009D3A83" w:rsidRDefault="006F40DD" w:rsidP="006F40DD">
            <w:pPr>
              <w:pStyle w:val="BodyText"/>
              <w:rPr>
                <w:lang w:val="en-GB"/>
              </w:rPr>
            </w:pPr>
            <w:r w:rsidRPr="009D3A83">
              <w:rPr>
                <w:lang w:val="en-GB"/>
              </w:rPr>
              <w:t xml:space="preserve"> ±(16*T</w:t>
            </w:r>
            <w:r w:rsidRPr="009D3A83">
              <w:rPr>
                <w:vertAlign w:val="subscript"/>
                <w:lang w:val="en-GB"/>
              </w:rPr>
              <w:t>s</w:t>
            </w:r>
            <w:r w:rsidRPr="009D3A83">
              <w:rPr>
                <w:lang w:val="en-GB"/>
              </w:rPr>
              <w:t xml:space="preserve">/2)/64 </w:t>
            </w:r>
            <w:r w:rsidRPr="009D3A83">
              <w:rPr>
                <w:lang w:val="en-GB"/>
              </w:rPr>
              <w:br/>
              <w:t>= ±(TA_step@15 kHz/2)/64</w:t>
            </w:r>
          </w:p>
        </w:tc>
      </w:tr>
      <w:tr w:rsidR="006F40DD" w:rsidRPr="009D3A83" w14:paraId="5BCFB177" w14:textId="77777777" w:rsidTr="003D12C2">
        <w:tc>
          <w:tcPr>
            <w:tcW w:w="3210" w:type="dxa"/>
          </w:tcPr>
          <w:p w14:paraId="7F7DDD21" w14:textId="77777777" w:rsidR="006F40DD" w:rsidRPr="009D3A83" w:rsidRDefault="006F40DD" w:rsidP="006F40DD">
            <w:pPr>
              <w:pStyle w:val="BodyText"/>
              <w:rPr>
                <w:lang w:val="en-GB"/>
              </w:rPr>
            </w:pPr>
            <w:r w:rsidRPr="009D3A83">
              <w:rPr>
                <w:lang w:val="en-GB"/>
              </w:rPr>
              <w:t xml:space="preserve">Sum </w:t>
            </w:r>
          </w:p>
        </w:tc>
        <w:tc>
          <w:tcPr>
            <w:tcW w:w="3209" w:type="dxa"/>
          </w:tcPr>
          <w:p w14:paraId="1A993C64" w14:textId="5F2B95EA" w:rsidR="006F40DD" w:rsidRPr="009D3A83" w:rsidRDefault="00082124" w:rsidP="006F40DD">
            <w:pPr>
              <w:pStyle w:val="BodyText"/>
              <w:rPr>
                <w:lang w:val="en-GB"/>
              </w:rPr>
            </w:pPr>
            <w:r w:rsidRPr="003C2819">
              <w:rPr>
                <w:lang w:val="en-GB"/>
              </w:rPr>
              <w:t>22.</w:t>
            </w:r>
            <w:r w:rsidR="008B1404">
              <w:rPr>
                <w:lang w:val="en-GB"/>
              </w:rPr>
              <w:t>3</w:t>
            </w:r>
            <w:r w:rsidRPr="003C2819">
              <w:rPr>
                <w:lang w:val="en-GB"/>
              </w:rPr>
              <w:t>796 ns (44 Tc)</w:t>
            </w:r>
          </w:p>
        </w:tc>
        <w:tc>
          <w:tcPr>
            <w:tcW w:w="3210" w:type="dxa"/>
          </w:tcPr>
          <w:p w14:paraId="03AE967B" w14:textId="77777777" w:rsidR="006F40DD" w:rsidRPr="009D3A83" w:rsidRDefault="006F40DD" w:rsidP="006F40DD">
            <w:pPr>
              <w:pStyle w:val="BodyText"/>
              <w:rPr>
                <w:lang w:val="en-GB"/>
              </w:rPr>
            </w:pPr>
            <w:r w:rsidRPr="009D3A83">
              <w:rPr>
                <w:lang w:val="en-GB"/>
              </w:rPr>
              <w:t xml:space="preserve"> </w:t>
            </w:r>
          </w:p>
        </w:tc>
      </w:tr>
      <w:tr w:rsidR="006F40DD" w:rsidRPr="009D3A83" w14:paraId="0B08E56A" w14:textId="77777777" w:rsidTr="003D12C2">
        <w:tc>
          <w:tcPr>
            <w:tcW w:w="3210" w:type="dxa"/>
          </w:tcPr>
          <w:p w14:paraId="49D818B1" w14:textId="26230E2C" w:rsidR="006F40DD" w:rsidRPr="009D3A83" w:rsidRDefault="00453C2B" w:rsidP="006F40DD">
            <w:pPr>
              <w:pStyle w:val="BodyText"/>
              <w:rPr>
                <w:lang w:val="en-GB"/>
              </w:rPr>
            </w:pPr>
            <w:r>
              <w:rPr>
                <w:lang w:val="en-GB"/>
              </w:rPr>
              <w:t>S</w:t>
            </w:r>
            <w:r w:rsidR="006F40DD" w:rsidRPr="009D3A83">
              <w:rPr>
                <w:lang w:val="en-GB"/>
              </w:rPr>
              <w:t>um/CP</w:t>
            </w:r>
          </w:p>
        </w:tc>
        <w:tc>
          <w:tcPr>
            <w:tcW w:w="3209" w:type="dxa"/>
          </w:tcPr>
          <w:p w14:paraId="02381ED0" w14:textId="125E15E8" w:rsidR="006F40DD" w:rsidRPr="009D3A83" w:rsidRDefault="00082124" w:rsidP="006F40DD">
            <w:pPr>
              <w:pStyle w:val="BodyText"/>
              <w:rPr>
                <w:lang w:val="en-GB"/>
              </w:rPr>
            </w:pPr>
            <w:r w:rsidRPr="003C2819">
              <w:rPr>
                <w:lang w:val="en-GB"/>
              </w:rPr>
              <w:t>3</w:t>
            </w:r>
            <w:r w:rsidR="003D12C2" w:rsidRPr="003C2819">
              <w:rPr>
                <w:lang w:val="en-GB"/>
              </w:rPr>
              <w:t>1</w:t>
            </w:r>
            <w:r w:rsidR="006F40DD" w:rsidRPr="009D3A83">
              <w:rPr>
                <w:lang w:val="en-GB"/>
              </w:rPr>
              <w:t>%</w:t>
            </w:r>
          </w:p>
        </w:tc>
        <w:tc>
          <w:tcPr>
            <w:tcW w:w="3210" w:type="dxa"/>
          </w:tcPr>
          <w:p w14:paraId="3E02C33E" w14:textId="63FA7E65" w:rsidR="006F40DD" w:rsidRPr="009D3A83" w:rsidRDefault="006F40DD" w:rsidP="006F40DD">
            <w:pPr>
              <w:pStyle w:val="BodyText"/>
              <w:rPr>
                <w:lang w:val="en-GB"/>
              </w:rPr>
            </w:pPr>
          </w:p>
        </w:tc>
      </w:tr>
      <w:tr w:rsidR="006F40DD" w:rsidRPr="009D3A83" w14:paraId="49B3D83A" w14:textId="77777777" w:rsidTr="003D12C2">
        <w:tc>
          <w:tcPr>
            <w:tcW w:w="9629" w:type="dxa"/>
            <w:gridSpan w:val="3"/>
          </w:tcPr>
          <w:p w14:paraId="6F55CD5A" w14:textId="77777777" w:rsidR="006F40DD" w:rsidRPr="009D3A83" w:rsidRDefault="006F40DD" w:rsidP="006F40DD">
            <w:pPr>
              <w:pStyle w:val="BodyText"/>
              <w:rPr>
                <w:lang w:val="en-GB"/>
              </w:rPr>
            </w:pPr>
          </w:p>
        </w:tc>
      </w:tr>
      <w:tr w:rsidR="003D12C2" w:rsidRPr="00143E39" w14:paraId="6FCEE7C4" w14:textId="77777777" w:rsidTr="003D12C2">
        <w:tc>
          <w:tcPr>
            <w:tcW w:w="3210" w:type="dxa"/>
          </w:tcPr>
          <w:p w14:paraId="33CF4402" w14:textId="69CF5E4B" w:rsidR="003D12C2" w:rsidRPr="003C2819" w:rsidRDefault="003D12C2" w:rsidP="001D2CDE">
            <w:pPr>
              <w:pStyle w:val="BodyText"/>
              <w:rPr>
                <w:lang w:val="en-GB"/>
              </w:rPr>
            </w:pPr>
            <w:r w:rsidRPr="003C2819">
              <w:rPr>
                <w:lang w:val="en-GB"/>
              </w:rPr>
              <w:t xml:space="preserve">Margin </w:t>
            </w:r>
            <w:r w:rsidR="00453C2B">
              <w:rPr>
                <w:lang w:val="en-GB"/>
              </w:rPr>
              <w:t xml:space="preserve">for </w:t>
            </w:r>
            <w:r w:rsidRPr="003C2819">
              <w:rPr>
                <w:lang w:val="en-GB"/>
              </w:rPr>
              <w:t xml:space="preserve">channel change(s) </w:t>
            </w:r>
            <w:r w:rsidR="00453C2B">
              <w:rPr>
                <w:lang w:val="en-GB"/>
              </w:rPr>
              <w:t>assuming zero d</w:t>
            </w:r>
            <w:r w:rsidRPr="003C2819">
              <w:rPr>
                <w:lang w:val="en-GB"/>
              </w:rPr>
              <w:t>elay spread</w:t>
            </w:r>
          </w:p>
        </w:tc>
        <w:tc>
          <w:tcPr>
            <w:tcW w:w="3209" w:type="dxa"/>
          </w:tcPr>
          <w:p w14:paraId="3170D7CB" w14:textId="77777777" w:rsidR="003D12C2" w:rsidRPr="003C2819" w:rsidRDefault="003D12C2" w:rsidP="001D2CDE">
            <w:pPr>
              <w:pStyle w:val="BodyText"/>
              <w:rPr>
                <w:lang w:val="en-GB"/>
              </w:rPr>
            </w:pPr>
            <w:r w:rsidRPr="003C2819">
              <w:rPr>
                <w:lang w:val="en-GB"/>
              </w:rPr>
              <w:t>50.8626 ns</w:t>
            </w:r>
          </w:p>
        </w:tc>
        <w:tc>
          <w:tcPr>
            <w:tcW w:w="3210" w:type="dxa"/>
          </w:tcPr>
          <w:p w14:paraId="51136322" w14:textId="536162FF" w:rsidR="003D12C2" w:rsidRPr="003C2819" w:rsidRDefault="003D12C2" w:rsidP="001D2CDE">
            <w:pPr>
              <w:pStyle w:val="BodyText"/>
              <w:rPr>
                <w:lang w:val="en-GB"/>
              </w:rPr>
            </w:pPr>
            <w:r w:rsidRPr="003C2819">
              <w:rPr>
                <w:lang w:val="en-GB"/>
              </w:rPr>
              <w:t xml:space="preserve">CP @ 960 kHz – Sum = </w:t>
            </w:r>
            <w:r w:rsidRPr="003C2819">
              <w:rPr>
                <w:lang w:val="en-GB"/>
              </w:rPr>
              <w:br/>
              <w:t>= 144*64*T</w:t>
            </w:r>
            <w:r w:rsidRPr="003C2819">
              <w:rPr>
                <w:vertAlign w:val="subscript"/>
                <w:lang w:val="en-GB"/>
              </w:rPr>
              <w:t>c</w:t>
            </w:r>
            <w:r w:rsidRPr="003C2819">
              <w:rPr>
                <w:lang w:val="en-GB"/>
              </w:rPr>
              <w:t xml:space="preserve">/64 </w:t>
            </w:r>
            <w:r w:rsidR="00760511">
              <w:rPr>
                <w:lang w:val="en-GB"/>
              </w:rPr>
              <w:t>–</w:t>
            </w:r>
            <w:r w:rsidRPr="003C2819">
              <w:rPr>
                <w:lang w:val="en-GB"/>
              </w:rPr>
              <w:t xml:space="preserve"> Sum</w:t>
            </w:r>
          </w:p>
        </w:tc>
      </w:tr>
      <w:tr w:rsidR="003D12C2" w:rsidRPr="00143E39" w14:paraId="6F0CB473" w14:textId="77777777" w:rsidTr="003D12C2">
        <w:tc>
          <w:tcPr>
            <w:tcW w:w="3210" w:type="dxa"/>
          </w:tcPr>
          <w:p w14:paraId="6F9E30ED" w14:textId="29F4B85F" w:rsidR="003D12C2" w:rsidRPr="003C2819" w:rsidRDefault="00760511" w:rsidP="001D2CDE">
            <w:pPr>
              <w:pStyle w:val="BodyText"/>
              <w:rPr>
                <w:lang w:val="en-GB"/>
              </w:rPr>
            </w:pPr>
            <w:r>
              <w:rPr>
                <w:lang w:val="en-GB"/>
              </w:rPr>
              <w:t>O</w:t>
            </w:r>
            <w:r w:rsidR="003D12C2" w:rsidRPr="003C2819">
              <w:rPr>
                <w:lang w:val="en-GB"/>
              </w:rPr>
              <w:t>ne-way channel change</w:t>
            </w:r>
            <w:r>
              <w:rPr>
                <w:lang w:val="en-GB"/>
              </w:rPr>
              <w:t xml:space="preserve"> budget assuming zero delay spread</w:t>
            </w:r>
            <w:r w:rsidR="00453C2B">
              <w:rPr>
                <w:lang w:val="en-GB"/>
              </w:rPr>
              <w:t xml:space="preserve"> </w:t>
            </w:r>
          </w:p>
        </w:tc>
        <w:tc>
          <w:tcPr>
            <w:tcW w:w="3209" w:type="dxa"/>
          </w:tcPr>
          <w:p w14:paraId="22C7F580" w14:textId="77777777" w:rsidR="003D12C2" w:rsidRPr="003C2819" w:rsidRDefault="003D12C2" w:rsidP="001D2CDE">
            <w:pPr>
              <w:pStyle w:val="BodyText"/>
              <w:rPr>
                <w:lang w:val="en-GB"/>
              </w:rPr>
            </w:pPr>
            <w:r w:rsidRPr="003C2819">
              <w:rPr>
                <w:lang w:val="en-GB"/>
              </w:rPr>
              <w:t>7.63 m</w:t>
            </w:r>
          </w:p>
        </w:tc>
        <w:tc>
          <w:tcPr>
            <w:tcW w:w="3210" w:type="dxa"/>
          </w:tcPr>
          <w:p w14:paraId="6C21FDA6" w14:textId="25CC2A71" w:rsidR="003D12C2" w:rsidRPr="003C2819" w:rsidRDefault="003D12C2" w:rsidP="001D2CDE">
            <w:pPr>
              <w:pStyle w:val="BodyText"/>
              <w:rPr>
                <w:lang w:val="en-GB"/>
              </w:rPr>
            </w:pPr>
            <w:r w:rsidRPr="003C2819">
              <w:rPr>
                <w:lang w:val="en-GB"/>
              </w:rPr>
              <w:t xml:space="preserve">Margin </w:t>
            </w:r>
            <w:r w:rsidR="00760511">
              <w:rPr>
                <w:lang w:val="en-GB"/>
              </w:rPr>
              <w:t xml:space="preserve">for </w:t>
            </w:r>
            <w:r w:rsidRPr="003C2819">
              <w:rPr>
                <w:lang w:val="en-GB"/>
              </w:rPr>
              <w:t>channel change</w:t>
            </w:r>
            <w:r w:rsidR="00760511">
              <w:rPr>
                <w:lang w:val="en-GB"/>
              </w:rPr>
              <w:t xml:space="preserve">(s) </w:t>
            </w:r>
            <w:r w:rsidRPr="003C2819">
              <w:rPr>
                <w:lang w:val="en-GB"/>
              </w:rPr>
              <w:t>*</w:t>
            </w:r>
            <w:r w:rsidR="00760511">
              <w:rPr>
                <w:lang w:val="en-GB"/>
              </w:rPr>
              <w:t xml:space="preserve"> </w:t>
            </w:r>
            <w:r w:rsidRPr="003C2819">
              <w:rPr>
                <w:lang w:val="en-GB"/>
              </w:rPr>
              <w:t>c</w:t>
            </w:r>
            <w:r w:rsidR="00760511">
              <w:rPr>
                <w:lang w:val="en-GB"/>
              </w:rPr>
              <w:t xml:space="preserve"> </w:t>
            </w:r>
            <w:r w:rsidRPr="003C2819">
              <w:rPr>
                <w:lang w:val="en-GB"/>
              </w:rPr>
              <w:t>/</w:t>
            </w:r>
            <w:r w:rsidR="00760511">
              <w:rPr>
                <w:lang w:val="en-GB"/>
              </w:rPr>
              <w:t xml:space="preserve"> </w:t>
            </w:r>
            <w:r w:rsidRPr="003C2819">
              <w:rPr>
                <w:lang w:val="en-GB"/>
              </w:rPr>
              <w:t>2</w:t>
            </w:r>
          </w:p>
        </w:tc>
      </w:tr>
      <w:tr w:rsidR="006F40DD" w:rsidRPr="009D3A83" w14:paraId="366EC3A1" w14:textId="77777777" w:rsidTr="003D12C2">
        <w:tc>
          <w:tcPr>
            <w:tcW w:w="3210" w:type="dxa"/>
          </w:tcPr>
          <w:p w14:paraId="137AFD84" w14:textId="7800F4F5" w:rsidR="006F40DD" w:rsidRPr="009D3A83" w:rsidRDefault="006F40DD" w:rsidP="006F40DD">
            <w:pPr>
              <w:pStyle w:val="BodyText"/>
              <w:rPr>
                <w:lang w:val="en-GB"/>
              </w:rPr>
            </w:pPr>
            <w:r w:rsidRPr="009D3A83">
              <w:rPr>
                <w:lang w:val="en-GB"/>
              </w:rPr>
              <w:t xml:space="preserve">Margin </w:t>
            </w:r>
            <w:r w:rsidR="00760511">
              <w:rPr>
                <w:lang w:val="en-GB"/>
              </w:rPr>
              <w:t xml:space="preserve">for </w:t>
            </w:r>
            <w:r w:rsidRPr="009D3A83">
              <w:rPr>
                <w:lang w:val="en-GB"/>
              </w:rPr>
              <w:t xml:space="preserve">channel change(s) </w:t>
            </w:r>
            <w:r w:rsidR="00760511">
              <w:rPr>
                <w:lang w:val="en-GB"/>
              </w:rPr>
              <w:t>assuming</w:t>
            </w:r>
            <w:r w:rsidR="00760511" w:rsidRPr="009D3A83">
              <w:rPr>
                <w:lang w:val="en-GB"/>
              </w:rPr>
              <w:t xml:space="preserve"> </w:t>
            </w:r>
            <w:r w:rsidR="003D12C2" w:rsidRPr="003C2819">
              <w:rPr>
                <w:lang w:val="en-GB"/>
              </w:rPr>
              <w:t>20 ns d</w:t>
            </w:r>
            <w:r w:rsidRPr="009D3A83">
              <w:rPr>
                <w:lang w:val="en-GB"/>
              </w:rPr>
              <w:t xml:space="preserve">elay spread </w:t>
            </w:r>
          </w:p>
        </w:tc>
        <w:tc>
          <w:tcPr>
            <w:tcW w:w="3209" w:type="dxa"/>
          </w:tcPr>
          <w:p w14:paraId="705C7FA0" w14:textId="2A058770" w:rsidR="006F40DD" w:rsidRPr="009D3A83" w:rsidRDefault="003D12C2" w:rsidP="006F40DD">
            <w:pPr>
              <w:pStyle w:val="BodyText"/>
              <w:rPr>
                <w:lang w:val="en-GB"/>
              </w:rPr>
            </w:pPr>
            <w:r w:rsidRPr="003C2819">
              <w:rPr>
                <w:lang w:val="en-GB"/>
              </w:rPr>
              <w:t>30.8626</w:t>
            </w:r>
            <w:r w:rsidR="006F40DD" w:rsidRPr="009D3A83">
              <w:rPr>
                <w:lang w:val="en-GB"/>
              </w:rPr>
              <w:t xml:space="preserve"> ns</w:t>
            </w:r>
          </w:p>
        </w:tc>
        <w:tc>
          <w:tcPr>
            <w:tcW w:w="3210" w:type="dxa"/>
          </w:tcPr>
          <w:p w14:paraId="279912B0" w14:textId="59803B34" w:rsidR="006F40DD" w:rsidRPr="003C2819" w:rsidRDefault="006F40DD" w:rsidP="006F40DD">
            <w:pPr>
              <w:pStyle w:val="BodyText"/>
            </w:pPr>
            <w:r w:rsidRPr="00633B45">
              <w:t xml:space="preserve">CP @ 960 kHz – Sum </w:t>
            </w:r>
            <w:r w:rsidR="00E91C23" w:rsidRPr="00633B45">
              <w:t>– 20ns</w:t>
            </w:r>
            <w:r w:rsidRPr="00633B45">
              <w:t xml:space="preserve">= </w:t>
            </w:r>
            <w:r w:rsidRPr="00633B45">
              <w:br/>
              <w:t>= 144*64*T</w:t>
            </w:r>
            <w:r w:rsidRPr="00633B45">
              <w:rPr>
                <w:vertAlign w:val="subscript"/>
              </w:rPr>
              <w:t>c</w:t>
            </w:r>
            <w:r w:rsidRPr="00633B45">
              <w:t xml:space="preserve">/64 </w:t>
            </w:r>
            <w:r w:rsidR="00E91C23" w:rsidRPr="00633B45">
              <w:t>–</w:t>
            </w:r>
            <w:r w:rsidRPr="00633B45">
              <w:t xml:space="preserve"> Sum</w:t>
            </w:r>
            <w:r w:rsidR="00E91C23" w:rsidRPr="00633B45">
              <w:t xml:space="preserve"> – 20ns</w:t>
            </w:r>
          </w:p>
        </w:tc>
      </w:tr>
      <w:tr w:rsidR="006F40DD" w:rsidRPr="00971924" w14:paraId="18A58694" w14:textId="77777777" w:rsidTr="003D12C2">
        <w:tc>
          <w:tcPr>
            <w:tcW w:w="3210" w:type="dxa"/>
          </w:tcPr>
          <w:p w14:paraId="5253BB39" w14:textId="7033DF74" w:rsidR="006F40DD" w:rsidRPr="009D3A83" w:rsidRDefault="006F40DD" w:rsidP="006F40DD">
            <w:pPr>
              <w:pStyle w:val="BodyText"/>
              <w:rPr>
                <w:lang w:val="en-GB"/>
              </w:rPr>
            </w:pPr>
            <w:r w:rsidRPr="009D3A83">
              <w:rPr>
                <w:lang w:val="en-GB"/>
              </w:rPr>
              <w:t xml:space="preserve">One-way channel change </w:t>
            </w:r>
            <w:r w:rsidR="00760511">
              <w:rPr>
                <w:lang w:val="en-GB"/>
              </w:rPr>
              <w:t>budget assuming 20 ns delay spread</w:t>
            </w:r>
            <w:r w:rsidRPr="009D3A83">
              <w:rPr>
                <w:lang w:val="en-GB"/>
              </w:rPr>
              <w:t xml:space="preserve"> </w:t>
            </w:r>
          </w:p>
        </w:tc>
        <w:tc>
          <w:tcPr>
            <w:tcW w:w="3209" w:type="dxa"/>
          </w:tcPr>
          <w:p w14:paraId="71425B56" w14:textId="04BFD59F" w:rsidR="006F40DD" w:rsidRPr="009D3A83" w:rsidRDefault="003D12C2" w:rsidP="006F40DD">
            <w:pPr>
              <w:pStyle w:val="BodyText"/>
              <w:rPr>
                <w:lang w:val="en-GB"/>
              </w:rPr>
            </w:pPr>
            <w:r w:rsidRPr="003C2819">
              <w:rPr>
                <w:lang w:val="en-GB"/>
              </w:rPr>
              <w:t>3</w:t>
            </w:r>
            <w:r w:rsidR="006F40DD" w:rsidRPr="009D3A83">
              <w:rPr>
                <w:lang w:val="en-GB"/>
              </w:rPr>
              <w:t>.</w:t>
            </w:r>
            <w:r w:rsidR="00143E39" w:rsidRPr="003C2819">
              <w:rPr>
                <w:lang w:val="en-GB"/>
              </w:rPr>
              <w:t>13</w:t>
            </w:r>
            <w:r w:rsidRPr="003C2819">
              <w:rPr>
                <w:lang w:val="en-GB"/>
              </w:rPr>
              <w:t xml:space="preserve"> </w:t>
            </w:r>
            <w:r w:rsidR="006F40DD" w:rsidRPr="009D3A83">
              <w:rPr>
                <w:lang w:val="en-GB"/>
              </w:rPr>
              <w:t>m</w:t>
            </w:r>
          </w:p>
        </w:tc>
        <w:tc>
          <w:tcPr>
            <w:tcW w:w="3210" w:type="dxa"/>
          </w:tcPr>
          <w:p w14:paraId="19B6E616" w14:textId="77777777" w:rsidR="006F40DD" w:rsidRPr="009D3A83" w:rsidRDefault="006F40DD" w:rsidP="006F40DD">
            <w:pPr>
              <w:pStyle w:val="BodyText"/>
              <w:rPr>
                <w:lang w:val="en-GB"/>
              </w:rPr>
            </w:pPr>
            <w:r w:rsidRPr="009D3A83">
              <w:rPr>
                <w:lang w:val="en-GB"/>
              </w:rPr>
              <w:t>Margin channel change*c/2</w:t>
            </w:r>
          </w:p>
        </w:tc>
      </w:tr>
    </w:tbl>
    <w:p w14:paraId="5A4542A1" w14:textId="49EFA574" w:rsidR="007461FB" w:rsidRDefault="006F40DD" w:rsidP="006F40DD">
      <w:pPr>
        <w:pStyle w:val="BodyText"/>
        <w:rPr>
          <w:lang w:val="en-GB"/>
        </w:rPr>
      </w:pPr>
      <w:r w:rsidRPr="003C2819">
        <w:rPr>
          <w:highlight w:val="yellow"/>
          <w:lang w:val="en-GB"/>
        </w:rPr>
        <w:br/>
      </w:r>
      <w:r w:rsidR="007461FB" w:rsidRPr="003C2819">
        <w:rPr>
          <w:lang w:val="en-GB"/>
        </w:rPr>
        <w:t>From</w:t>
      </w:r>
      <w:r w:rsidR="009D3A83">
        <w:rPr>
          <w:lang w:val="en-GB"/>
        </w:rPr>
        <w:t xml:space="preserve"> the table in </w:t>
      </w:r>
      <w:r w:rsidR="007461FB" w:rsidRPr="003C2819">
        <w:rPr>
          <w:lang w:val="en-GB"/>
        </w:rPr>
        <w:fldChar w:fldCharType="begin"/>
      </w:r>
      <w:r w:rsidR="007461FB" w:rsidRPr="003C2819">
        <w:rPr>
          <w:lang w:val="en-GB"/>
        </w:rPr>
        <w:instrText xml:space="preserve"> REF _Ref53052442 \h </w:instrText>
      </w:r>
      <w:r w:rsidR="009D3A83" w:rsidRPr="009D3A83">
        <w:rPr>
          <w:lang w:val="en-GB"/>
        </w:rPr>
        <w:instrText xml:space="preserve"> \* MERGEFORMAT </w:instrText>
      </w:r>
      <w:r w:rsidR="007461FB" w:rsidRPr="003C2819">
        <w:rPr>
          <w:lang w:val="en-GB"/>
        </w:rPr>
      </w:r>
      <w:r w:rsidR="007461FB" w:rsidRPr="003C2819">
        <w:rPr>
          <w:lang w:val="en-GB"/>
        </w:rPr>
        <w:fldChar w:fldCharType="separate"/>
      </w:r>
      <w:r w:rsidR="00BE31F7" w:rsidRPr="00BE31F7">
        <w:t>Figure 33</w:t>
      </w:r>
      <w:r w:rsidR="007461FB" w:rsidRPr="003C2819">
        <w:rPr>
          <w:lang w:val="en-GB"/>
        </w:rPr>
        <w:fldChar w:fldCharType="end"/>
      </w:r>
      <w:r w:rsidR="007461FB" w:rsidRPr="003C2819">
        <w:rPr>
          <w:lang w:val="en-GB"/>
        </w:rPr>
        <w:t xml:space="preserve"> we can conclude that even without taking </w:t>
      </w:r>
      <w:r w:rsidR="00760511">
        <w:rPr>
          <w:lang w:val="en-GB"/>
        </w:rPr>
        <w:t xml:space="preserve">time synchronization requirements for </w:t>
      </w:r>
      <w:r w:rsidR="00D15273">
        <w:rPr>
          <w:lang w:val="en-GB"/>
        </w:rPr>
        <w:t xml:space="preserve">multi-TRP deployments </w:t>
      </w:r>
      <w:r w:rsidR="007461FB" w:rsidRPr="003C2819">
        <w:rPr>
          <w:lang w:val="en-GB"/>
        </w:rPr>
        <w:t>into account</w:t>
      </w:r>
      <w:r w:rsidR="00760511">
        <w:rPr>
          <w:lang w:val="en-GB"/>
        </w:rPr>
        <w:t>,</w:t>
      </w:r>
      <w:r w:rsidR="007461FB" w:rsidRPr="003C2819">
        <w:rPr>
          <w:lang w:val="en-GB"/>
        </w:rPr>
        <w:t xml:space="preserve"> maintain</w:t>
      </w:r>
      <w:r w:rsidR="00E91C23">
        <w:rPr>
          <w:lang w:val="en-GB"/>
        </w:rPr>
        <w:t>ing</w:t>
      </w:r>
      <w:r w:rsidR="007461FB" w:rsidRPr="003C2819">
        <w:rPr>
          <w:lang w:val="en-GB"/>
        </w:rPr>
        <w:t xml:space="preserve"> UL timing within the CP becomes very challenging</w:t>
      </w:r>
      <w:r w:rsidR="00731ABB">
        <w:rPr>
          <w:lang w:val="en-GB"/>
        </w:rPr>
        <w:t xml:space="preserve"> for 960 kHz SCS</w:t>
      </w:r>
      <w:r w:rsidR="007461FB" w:rsidRPr="003C2819">
        <w:rPr>
          <w:lang w:val="en-GB"/>
        </w:rPr>
        <w:t xml:space="preserve">. </w:t>
      </w:r>
      <w:r w:rsidR="008F0C9F">
        <w:rPr>
          <w:lang w:val="en-GB"/>
        </w:rPr>
        <w:t xml:space="preserve">Having a one-way channel change budget of just a few meters </w:t>
      </w:r>
      <w:r w:rsidR="0095226E">
        <w:rPr>
          <w:lang w:val="en-GB"/>
        </w:rPr>
        <w:t xml:space="preserve">requires very frequent timing advance updates and </w:t>
      </w:r>
      <w:r w:rsidR="008F0C9F">
        <w:rPr>
          <w:lang w:val="en-GB"/>
        </w:rPr>
        <w:t>results in that o</w:t>
      </w:r>
      <w:r w:rsidR="00F26C74" w:rsidRPr="003C2819">
        <w:rPr>
          <w:lang w:val="en-GB"/>
        </w:rPr>
        <w:t xml:space="preserve">nly small changes in the environment </w:t>
      </w:r>
      <w:r w:rsidR="005A7405">
        <w:rPr>
          <w:lang w:val="en-GB"/>
        </w:rPr>
        <w:t xml:space="preserve">or UE position </w:t>
      </w:r>
      <w:r w:rsidR="00F26C74" w:rsidRPr="003C2819">
        <w:rPr>
          <w:lang w:val="en-GB"/>
        </w:rPr>
        <w:t>will make the wanted signal fall outside of the CP</w:t>
      </w:r>
      <w:r w:rsidR="00F26C74">
        <w:rPr>
          <w:lang w:val="en-GB"/>
        </w:rPr>
        <w:t xml:space="preserve">. </w:t>
      </w:r>
      <w:r w:rsidR="0095226E">
        <w:rPr>
          <w:lang w:val="en-GB"/>
        </w:rPr>
        <w:t xml:space="preserve">This results in degraded performance or in the worst case that the link is lost and need to be re-established. </w:t>
      </w:r>
      <w:r w:rsidR="007461FB" w:rsidRPr="003C2819">
        <w:rPr>
          <w:lang w:val="en-GB"/>
        </w:rPr>
        <w:t xml:space="preserve">We further note that the calculations in </w:t>
      </w:r>
      <w:r w:rsidR="007461FB" w:rsidRPr="003C2819">
        <w:rPr>
          <w:lang w:val="en-GB"/>
        </w:rPr>
        <w:fldChar w:fldCharType="begin"/>
      </w:r>
      <w:r w:rsidR="007461FB" w:rsidRPr="003C2819">
        <w:rPr>
          <w:lang w:val="en-GB"/>
        </w:rPr>
        <w:instrText xml:space="preserve"> REF _Ref53052442 \h </w:instrText>
      </w:r>
      <w:r w:rsidR="00F26C74" w:rsidRPr="003C2819">
        <w:rPr>
          <w:lang w:val="en-GB"/>
        </w:rPr>
        <w:instrText xml:space="preserve"> \* MERGEFORMAT </w:instrText>
      </w:r>
      <w:r w:rsidR="007461FB" w:rsidRPr="003C2819">
        <w:rPr>
          <w:lang w:val="en-GB"/>
        </w:rPr>
      </w:r>
      <w:r w:rsidR="007461FB" w:rsidRPr="003C2819">
        <w:rPr>
          <w:lang w:val="en-GB"/>
        </w:rPr>
        <w:fldChar w:fldCharType="separate"/>
      </w:r>
      <w:r w:rsidR="00BE31F7" w:rsidRPr="00BE31F7">
        <w:t>Figure 33</w:t>
      </w:r>
      <w:r w:rsidR="007461FB" w:rsidRPr="003C2819">
        <w:rPr>
          <w:lang w:val="en-GB"/>
        </w:rPr>
        <w:fldChar w:fldCharType="end"/>
      </w:r>
      <w:r w:rsidR="007461FB" w:rsidRPr="003C2819">
        <w:rPr>
          <w:lang w:val="en-GB"/>
        </w:rPr>
        <w:t xml:space="preserve"> </w:t>
      </w:r>
      <w:r w:rsidR="007461FB" w:rsidRPr="003C2819">
        <w:rPr>
          <w:u w:val="single"/>
          <w:lang w:val="en-GB"/>
        </w:rPr>
        <w:t>assume that all errors scale with the sub-carrier spacing</w:t>
      </w:r>
      <w:r w:rsidR="00F26C74" w:rsidRPr="003C2819">
        <w:rPr>
          <w:lang w:val="en-GB"/>
        </w:rPr>
        <w:t>, which might not be the case</w:t>
      </w:r>
      <w:r w:rsidR="00760511">
        <w:rPr>
          <w:lang w:val="en-GB"/>
        </w:rPr>
        <w:t>, thus shrinking the one-way channel change budget even more</w:t>
      </w:r>
      <w:r w:rsidR="00F26C74" w:rsidRPr="003C2819">
        <w:rPr>
          <w:lang w:val="en-GB"/>
        </w:rPr>
        <w:t>.</w:t>
      </w:r>
      <w:r w:rsidR="007461FB" w:rsidRPr="003C2819">
        <w:rPr>
          <w:lang w:val="en-GB"/>
        </w:rPr>
        <w:t xml:space="preserve"> If we </w:t>
      </w:r>
      <w:r w:rsidR="00F26C74" w:rsidRPr="003C2819">
        <w:rPr>
          <w:lang w:val="en-GB"/>
        </w:rPr>
        <w:t xml:space="preserve">further </w:t>
      </w:r>
      <w:proofErr w:type="gramStart"/>
      <w:r w:rsidR="007461FB" w:rsidRPr="003C2819">
        <w:rPr>
          <w:lang w:val="en-GB"/>
        </w:rPr>
        <w:t>take</w:t>
      </w:r>
      <w:r w:rsidR="00760511">
        <w:rPr>
          <w:lang w:val="en-GB"/>
        </w:rPr>
        <w:t xml:space="preserve"> into account</w:t>
      </w:r>
      <w:proofErr w:type="gramEnd"/>
      <w:r w:rsidR="007461FB" w:rsidRPr="003C2819">
        <w:rPr>
          <w:lang w:val="en-GB"/>
        </w:rPr>
        <w:t xml:space="preserve"> </w:t>
      </w:r>
      <w:r w:rsidR="00D15273">
        <w:rPr>
          <w:lang w:val="en-GB"/>
        </w:rPr>
        <w:t>multi-TRP deployments, e.g. an indoor distributed antenna system based on SFN-like transmissions, we can observe that the margin for delay spread is further reduced since the SFN-like transmission effectively lengthens the overall channel response.</w:t>
      </w:r>
      <w:r w:rsidR="00760511">
        <w:rPr>
          <w:lang w:val="en-GB"/>
        </w:rPr>
        <w:t xml:space="preserve"> We point out that we have not </w:t>
      </w:r>
      <w:proofErr w:type="gramStart"/>
      <w:r w:rsidR="00760511">
        <w:rPr>
          <w:lang w:val="en-GB"/>
        </w:rPr>
        <w:t>taken into account</w:t>
      </w:r>
      <w:proofErr w:type="gramEnd"/>
      <w:r w:rsidR="00760511">
        <w:rPr>
          <w:lang w:val="en-GB"/>
        </w:rPr>
        <w:t xml:space="preserve"> UL MIMO time alignment errors between antenna branches, thus further making the above analysis overly optimistic.</w:t>
      </w:r>
    </w:p>
    <w:p w14:paraId="6C17DD9A" w14:textId="3832035D" w:rsidR="009D3A83" w:rsidRPr="003C2819" w:rsidRDefault="003E7A7D" w:rsidP="003C2819">
      <w:pPr>
        <w:pStyle w:val="Proposal"/>
      </w:pPr>
      <w:bookmarkStart w:id="169" w:name="_Toc53776199"/>
      <w:r>
        <w:t xml:space="preserve">Capture the following observation in TR 38.808: </w:t>
      </w:r>
      <w:r w:rsidR="00177252">
        <w:t xml:space="preserve">For 960 kHz, </w:t>
      </w:r>
      <w:r w:rsidR="00177252" w:rsidRPr="00382E66">
        <w:rPr>
          <w:lang w:val="en-GB"/>
        </w:rPr>
        <w:t>maintain</w:t>
      </w:r>
      <w:r w:rsidR="00177252">
        <w:rPr>
          <w:lang w:val="en-GB"/>
        </w:rPr>
        <w:t>ing</w:t>
      </w:r>
      <w:r w:rsidR="00177252" w:rsidRPr="00382E66">
        <w:rPr>
          <w:lang w:val="en-GB"/>
        </w:rPr>
        <w:t xml:space="preserve"> UL timing within the CP becomes </w:t>
      </w:r>
      <w:r w:rsidR="00177252">
        <w:rPr>
          <w:lang w:val="en-GB"/>
        </w:rPr>
        <w:t xml:space="preserve">very challenging even without taking </w:t>
      </w:r>
      <w:r w:rsidR="00D15273">
        <w:rPr>
          <w:lang w:val="en-GB"/>
        </w:rPr>
        <w:t>multi-TRP deployments</w:t>
      </w:r>
      <w:r w:rsidR="00177252">
        <w:rPr>
          <w:lang w:val="en-GB"/>
        </w:rPr>
        <w:t xml:space="preserve"> into account. </w:t>
      </w:r>
      <w:r w:rsidR="009D3A83" w:rsidRPr="003C2819">
        <w:t xml:space="preserve">When taking </w:t>
      </w:r>
      <w:r w:rsidR="00D15273">
        <w:rPr>
          <w:lang w:val="en-GB"/>
        </w:rPr>
        <w:t>multi-TRP deployments</w:t>
      </w:r>
      <w:r w:rsidR="009D3A83" w:rsidRPr="003C2819">
        <w:t xml:space="preserve"> into account, </w:t>
      </w:r>
      <w:r w:rsidR="00177252">
        <w:t xml:space="preserve">it becomes </w:t>
      </w:r>
      <w:r w:rsidR="002B17F0">
        <w:t>practically infeasible</w:t>
      </w:r>
      <w:r w:rsidR="00177252">
        <w:t>.</w:t>
      </w:r>
      <w:bookmarkEnd w:id="169"/>
    </w:p>
    <w:p w14:paraId="37628DCC" w14:textId="5FBD5A96" w:rsidR="007461FB" w:rsidRPr="003C2819" w:rsidRDefault="00F26C74" w:rsidP="006F40DD">
      <w:pPr>
        <w:pStyle w:val="BodyText"/>
        <w:rPr>
          <w:lang w:val="en-GB"/>
        </w:rPr>
      </w:pPr>
      <w:r w:rsidRPr="003C2819">
        <w:rPr>
          <w:lang w:val="en-GB"/>
        </w:rPr>
        <w:t>Given that that its essential that timing requirements are scaled accordingly when the SCS increases, we propose to capture the following in the technical report</w:t>
      </w:r>
    </w:p>
    <w:p w14:paraId="7E490F18" w14:textId="550E954B" w:rsidR="00F26C74" w:rsidRPr="003C2819" w:rsidRDefault="00F01524" w:rsidP="003C2819">
      <w:pPr>
        <w:pStyle w:val="Proposal"/>
        <w:rPr>
          <w:lang w:val="en-GB"/>
        </w:rPr>
      </w:pPr>
      <w:bookmarkStart w:id="170" w:name="_Toc53776200"/>
      <w:r>
        <w:t>Capture</w:t>
      </w:r>
      <w:r w:rsidR="00F26C74">
        <w:t xml:space="preserve"> the </w:t>
      </w:r>
      <w:r>
        <w:t xml:space="preserve">following observation in </w:t>
      </w:r>
      <w:r w:rsidR="00F26C74">
        <w:t xml:space="preserve">TR </w:t>
      </w:r>
      <w:r>
        <w:t>38.808:</w:t>
      </w:r>
      <w:r w:rsidR="00F26C74" w:rsidRPr="003C2819">
        <w:rPr>
          <w:lang w:val="en-GB"/>
        </w:rPr>
        <w:t xml:space="preserve"> </w:t>
      </w:r>
      <w:r w:rsidR="00177252" w:rsidRPr="009D3A83">
        <w:t>A higher UL SCS puts tighter requirements on UE UL timing</w:t>
      </w:r>
      <w:r w:rsidR="00177252" w:rsidRPr="00177252">
        <w:rPr>
          <w:lang w:val="en-GB"/>
        </w:rPr>
        <w:t xml:space="preserve"> </w:t>
      </w:r>
      <w:r w:rsidR="00177252">
        <w:rPr>
          <w:lang w:val="en-GB"/>
        </w:rPr>
        <w:t xml:space="preserve">and thus </w:t>
      </w:r>
      <w:r w:rsidR="000F7C06">
        <w:rPr>
          <w:lang w:val="en-GB"/>
        </w:rPr>
        <w:t xml:space="preserve">it is essential that </w:t>
      </w:r>
      <w:r w:rsidR="00177252">
        <w:rPr>
          <w:lang w:val="en-GB"/>
        </w:rPr>
        <w:t xml:space="preserve">the </w:t>
      </w:r>
      <w:r w:rsidR="00F26C74" w:rsidRPr="003C2819">
        <w:rPr>
          <w:lang w:val="en-GB"/>
        </w:rPr>
        <w:t xml:space="preserve">SCS selection and </w:t>
      </w:r>
      <w:r>
        <w:rPr>
          <w:lang w:val="en-GB"/>
        </w:rPr>
        <w:t xml:space="preserve">UE UL </w:t>
      </w:r>
      <w:r w:rsidR="00F26C74" w:rsidRPr="003C2819">
        <w:rPr>
          <w:lang w:val="en-GB"/>
        </w:rPr>
        <w:t xml:space="preserve">timing requirements </w:t>
      </w:r>
      <w:r w:rsidR="000F7C06">
        <w:rPr>
          <w:lang w:val="en-GB"/>
        </w:rPr>
        <w:t>are</w:t>
      </w:r>
      <w:r w:rsidR="00F26C74">
        <w:rPr>
          <w:lang w:val="en-GB"/>
        </w:rPr>
        <w:t xml:space="preserve"> </w:t>
      </w:r>
      <w:r w:rsidR="00F26C74" w:rsidRPr="003C2819">
        <w:rPr>
          <w:lang w:val="en-GB"/>
        </w:rPr>
        <w:t>discussed jointly</w:t>
      </w:r>
      <w:r w:rsidR="00D94120">
        <w:rPr>
          <w:lang w:val="en-GB"/>
        </w:rPr>
        <w:t>.</w:t>
      </w:r>
      <w:bookmarkEnd w:id="170"/>
    </w:p>
    <w:p w14:paraId="4C6A80E0" w14:textId="11D17E5C" w:rsidR="005C0997" w:rsidRDefault="00D94120" w:rsidP="002E600B">
      <w:pPr>
        <w:pStyle w:val="BodyText"/>
      </w:pPr>
      <w:r>
        <w:rPr>
          <w:highlight w:val="yellow"/>
          <w:lang w:val="en-GB"/>
        </w:rPr>
        <w:t xml:space="preserve"> </w:t>
      </w:r>
    </w:p>
    <w:p w14:paraId="7C154242" w14:textId="3ADD55C0" w:rsidR="007F1F62" w:rsidRPr="00FC1E85" w:rsidRDefault="00E52095" w:rsidP="003C2819">
      <w:pPr>
        <w:pStyle w:val="Heading2"/>
      </w:pPr>
      <w:bookmarkStart w:id="171" w:name="_Toc46307400"/>
      <w:bookmarkStart w:id="172" w:name="_Toc47530178"/>
      <w:bookmarkStart w:id="173" w:name="_Toc53775900"/>
      <w:r>
        <w:lastRenderedPageBreak/>
        <w:t>3</w:t>
      </w:r>
      <w:r w:rsidR="008A2C71">
        <w:t>.</w:t>
      </w:r>
      <w:r w:rsidR="003B7AF7">
        <w:t>5</w:t>
      </w:r>
      <w:r w:rsidR="008A2C71">
        <w:tab/>
        <w:t>Processing time issues</w:t>
      </w:r>
      <w:bookmarkEnd w:id="171"/>
      <w:bookmarkEnd w:id="172"/>
      <w:bookmarkEnd w:id="173"/>
    </w:p>
    <w:p w14:paraId="2AC65FD4" w14:textId="77777777" w:rsidR="009F48EE" w:rsidRDefault="009F48EE" w:rsidP="008A2C71">
      <w:pPr>
        <w:pStyle w:val="BodyText"/>
      </w:pPr>
      <w:r w:rsidRPr="007F1F62">
        <w:rPr>
          <w:noProof/>
        </w:rPr>
        <mc:AlternateContent>
          <mc:Choice Requires="wps">
            <w:drawing>
              <wp:inline distT="0" distB="0" distL="0" distR="0" wp14:anchorId="4895AD7F" wp14:editId="312DB415">
                <wp:extent cx="6086475" cy="798830"/>
                <wp:effectExtent l="0" t="0" r="28575" b="20320"/>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798830"/>
                        </a:xfrm>
                        <a:prstGeom prst="rect">
                          <a:avLst/>
                        </a:prstGeom>
                        <a:solidFill>
                          <a:srgbClr val="FFFFFF"/>
                        </a:solidFill>
                        <a:ln w="9525">
                          <a:solidFill>
                            <a:srgbClr val="000000"/>
                          </a:solidFill>
                          <a:miter lim="800000"/>
                          <a:headEnd/>
                          <a:tailEnd/>
                        </a:ln>
                      </wps:spPr>
                      <wps:txbx>
                        <w:txbxContent>
                          <w:p w14:paraId="422669DB" w14:textId="77777777" w:rsidR="00BE31F7" w:rsidRPr="00FC1E85" w:rsidRDefault="00BE31F7" w:rsidP="009F48EE">
                            <w:pPr>
                              <w:overflowPunct/>
                              <w:autoSpaceDE/>
                              <w:autoSpaceDN/>
                              <w:adjustRightInd/>
                              <w:spacing w:after="0"/>
                              <w:rPr>
                                <w:lang w:eastAsia="en-US"/>
                              </w:rPr>
                            </w:pPr>
                            <w:r w:rsidRPr="00FC1E85">
                              <w:rPr>
                                <w:rFonts w:eastAsia="Batang"/>
                                <w:color w:val="181818"/>
                                <w:spacing w:val="-6"/>
                                <w:kern w:val="20"/>
                                <w:highlight w:val="green"/>
                                <w:lang w:eastAsia="en-US"/>
                              </w:rPr>
                              <w:t>Agreement</w:t>
                            </w:r>
                            <w:r w:rsidRPr="00FC1E85">
                              <w:rPr>
                                <w:rFonts w:eastAsia="Batang"/>
                                <w:color w:val="181818"/>
                                <w:spacing w:val="-6"/>
                                <w:kern w:val="20"/>
                                <w:lang w:eastAsia="en-US"/>
                              </w:rPr>
                              <w:t>:</w:t>
                            </w:r>
                          </w:p>
                          <w:p w14:paraId="56B7DDE2" w14:textId="77777777" w:rsidR="00BE31F7" w:rsidRPr="00FC1E85" w:rsidRDefault="00BE31F7" w:rsidP="009F48EE">
                            <w:pPr>
                              <w:overflowPunct/>
                              <w:autoSpaceDE/>
                              <w:autoSpaceDN/>
                              <w:adjustRightInd/>
                              <w:spacing w:after="0"/>
                              <w:rPr>
                                <w:lang w:eastAsia="en-US"/>
                              </w:rPr>
                            </w:pPr>
                            <w:r w:rsidRPr="00FC1E85">
                              <w:rPr>
                                <w:rFonts w:eastAsia="Batang"/>
                                <w:color w:val="181818"/>
                                <w:spacing w:val="-6"/>
                                <w:kern w:val="20"/>
                                <w:lang w:eastAsia="en-US"/>
                              </w:rPr>
                              <w:t>Consider at least the following aspects of processing timelines for new SCS (if agreed) that are not currently supported,</w:t>
                            </w:r>
                          </w:p>
                          <w:p w14:paraId="66C81372" w14:textId="77777777" w:rsidR="00BE31F7" w:rsidRPr="00FC1E85" w:rsidRDefault="00BE31F7" w:rsidP="009F48EE">
                            <w:pPr>
                              <w:numPr>
                                <w:ilvl w:val="0"/>
                                <w:numId w:val="35"/>
                              </w:numPr>
                              <w:tabs>
                                <w:tab w:val="clear" w:pos="720"/>
                              </w:tabs>
                              <w:overflowPunct/>
                              <w:autoSpaceDE/>
                              <w:autoSpaceDN/>
                              <w:adjustRightInd/>
                              <w:spacing w:after="0" w:line="259" w:lineRule="auto"/>
                              <w:ind w:left="1080"/>
                              <w:contextualSpacing/>
                              <w:textAlignment w:val="auto"/>
                              <w:rPr>
                                <w:color w:val="181818"/>
                                <w:lang w:eastAsia="en-US"/>
                              </w:rPr>
                            </w:pPr>
                            <w:r w:rsidRPr="00FC1E85">
                              <w:rPr>
                                <w:rFonts w:eastAsia="Batang"/>
                                <w:color w:val="181818"/>
                                <w:spacing w:val="-6"/>
                                <w:kern w:val="20"/>
                                <w:lang w:eastAsia="en-US"/>
                              </w:rPr>
                              <w:t>appropriate configuration(s) of k0, k1, k2,</w:t>
                            </w:r>
                          </w:p>
                          <w:p w14:paraId="249EEF48" w14:textId="77777777" w:rsidR="00BE31F7" w:rsidRPr="00FC1E85" w:rsidRDefault="00BE31F7" w:rsidP="009F48EE">
                            <w:pPr>
                              <w:numPr>
                                <w:ilvl w:val="0"/>
                                <w:numId w:val="35"/>
                              </w:numPr>
                              <w:tabs>
                                <w:tab w:val="clear" w:pos="720"/>
                              </w:tabs>
                              <w:overflowPunct/>
                              <w:autoSpaceDE/>
                              <w:autoSpaceDN/>
                              <w:adjustRightInd/>
                              <w:spacing w:after="0" w:line="259" w:lineRule="auto"/>
                              <w:ind w:left="1080"/>
                              <w:contextualSpacing/>
                              <w:textAlignment w:val="auto"/>
                              <w:rPr>
                                <w:color w:val="181818"/>
                                <w:lang w:eastAsia="en-US"/>
                              </w:rPr>
                            </w:pPr>
                            <w:r w:rsidRPr="00FC1E85">
                              <w:rPr>
                                <w:rFonts w:eastAsia="Batang"/>
                                <w:color w:val="181818"/>
                                <w:spacing w:val="-6"/>
                                <w:kern w:val="20"/>
                                <w:lang w:eastAsia="en-US"/>
                              </w:rPr>
                              <w:t>PDSCH processing time (N1),</w:t>
                            </w:r>
                          </w:p>
                          <w:p w14:paraId="004E6218" w14:textId="77777777" w:rsidR="00BE31F7" w:rsidRPr="00FC1E85" w:rsidRDefault="00BE31F7" w:rsidP="009F48EE">
                            <w:pPr>
                              <w:numPr>
                                <w:ilvl w:val="0"/>
                                <w:numId w:val="35"/>
                              </w:numPr>
                              <w:tabs>
                                <w:tab w:val="clear" w:pos="720"/>
                              </w:tabs>
                              <w:overflowPunct/>
                              <w:autoSpaceDE/>
                              <w:autoSpaceDN/>
                              <w:adjustRightInd/>
                              <w:spacing w:after="0" w:line="259" w:lineRule="auto"/>
                              <w:ind w:left="1080"/>
                              <w:contextualSpacing/>
                              <w:textAlignment w:val="auto"/>
                              <w:rPr>
                                <w:color w:val="181818"/>
                                <w:lang w:eastAsia="en-US"/>
                              </w:rPr>
                            </w:pPr>
                            <w:r w:rsidRPr="00FC1E85">
                              <w:rPr>
                                <w:rFonts w:eastAsia="Batang"/>
                                <w:color w:val="181818"/>
                                <w:spacing w:val="-6"/>
                                <w:kern w:val="20"/>
                                <w:lang w:eastAsia="en-US"/>
                              </w:rPr>
                              <w:t>PUSCH preparation time (N2),</w:t>
                            </w:r>
                          </w:p>
                          <w:p w14:paraId="5A15EA64" w14:textId="77777777" w:rsidR="00BE31F7" w:rsidRPr="004F69A1" w:rsidRDefault="00BE31F7" w:rsidP="009F48EE">
                            <w:pPr>
                              <w:numPr>
                                <w:ilvl w:val="0"/>
                                <w:numId w:val="35"/>
                              </w:numPr>
                              <w:tabs>
                                <w:tab w:val="clear" w:pos="720"/>
                              </w:tabs>
                              <w:overflowPunct/>
                              <w:autoSpaceDE/>
                              <w:autoSpaceDN/>
                              <w:adjustRightInd/>
                              <w:spacing w:after="0" w:line="259" w:lineRule="auto"/>
                              <w:ind w:left="1080"/>
                              <w:contextualSpacing/>
                              <w:textAlignment w:val="auto"/>
                              <w:rPr>
                                <w:color w:val="181818"/>
                                <w:lang w:eastAsia="en-US"/>
                              </w:rPr>
                            </w:pPr>
                            <w:r w:rsidRPr="004F69A1">
                              <w:rPr>
                                <w:rFonts w:eastAsia="Batang"/>
                                <w:color w:val="181818"/>
                                <w:spacing w:val="-6"/>
                                <w:kern w:val="20"/>
                                <w:lang w:eastAsia="en-US"/>
                              </w:rPr>
                              <w:t>HARQ-ACK multiplexing timeline (N3)</w:t>
                            </w:r>
                          </w:p>
                          <w:p w14:paraId="15CDD699" w14:textId="77777777" w:rsidR="00BE31F7" w:rsidRPr="004F69A1" w:rsidRDefault="00BE31F7" w:rsidP="009F48EE">
                            <w:pPr>
                              <w:numPr>
                                <w:ilvl w:val="0"/>
                                <w:numId w:val="35"/>
                              </w:numPr>
                              <w:tabs>
                                <w:tab w:val="clear" w:pos="720"/>
                              </w:tabs>
                              <w:overflowPunct/>
                              <w:autoSpaceDE/>
                              <w:autoSpaceDN/>
                              <w:adjustRightInd/>
                              <w:spacing w:after="0" w:line="259" w:lineRule="auto"/>
                              <w:ind w:left="1080"/>
                              <w:contextualSpacing/>
                              <w:textAlignment w:val="auto"/>
                              <w:rPr>
                                <w:color w:val="181818"/>
                                <w:lang w:eastAsia="en-US"/>
                              </w:rPr>
                            </w:pPr>
                            <w:r w:rsidRPr="004F69A1">
                              <w:rPr>
                                <w:rFonts w:eastAsia="Batang"/>
                                <w:color w:val="181818"/>
                                <w:spacing w:val="-6"/>
                                <w:kern w:val="20"/>
                                <w:lang w:eastAsia="en-US"/>
                              </w:rPr>
                              <w:t>CSI processing time, Z1, Z2, and Z3, and CSI processing units</w:t>
                            </w:r>
                            <w:r w:rsidRPr="004F69A1">
                              <w:rPr>
                                <w:rFonts w:eastAsiaTheme="minorHAnsi"/>
                                <w:lang w:eastAsia="en-US"/>
                              </w:rPr>
                              <w:annotationRef/>
                            </w:r>
                          </w:p>
                          <w:p w14:paraId="14AE6C66" w14:textId="77777777" w:rsidR="00BE31F7" w:rsidRPr="00FC1E85" w:rsidRDefault="00BE31F7" w:rsidP="009F48EE">
                            <w:pPr>
                              <w:numPr>
                                <w:ilvl w:val="0"/>
                                <w:numId w:val="35"/>
                              </w:numPr>
                              <w:tabs>
                                <w:tab w:val="clear" w:pos="720"/>
                              </w:tabs>
                              <w:overflowPunct/>
                              <w:autoSpaceDE/>
                              <w:autoSpaceDN/>
                              <w:adjustRightInd/>
                              <w:spacing w:after="0" w:line="259" w:lineRule="auto"/>
                              <w:ind w:left="1080"/>
                              <w:contextualSpacing/>
                              <w:textAlignment w:val="auto"/>
                              <w:rPr>
                                <w:color w:val="181818"/>
                                <w:lang w:eastAsia="en-US"/>
                              </w:rPr>
                            </w:pPr>
                            <w:r w:rsidRPr="00FC1E85">
                              <w:rPr>
                                <w:rFonts w:eastAsia="Batang"/>
                                <w:color w:val="181818"/>
                                <w:spacing w:val="-6"/>
                                <w:kern w:val="20"/>
                                <w:lang w:eastAsia="en-US"/>
                              </w:rPr>
                              <w:t>Any potential enhancements to CPU occupation calculation</w:t>
                            </w:r>
                          </w:p>
                          <w:p w14:paraId="02813D1B" w14:textId="77777777" w:rsidR="00BE31F7" w:rsidRPr="00FC1E85" w:rsidRDefault="00BE31F7" w:rsidP="009F48EE">
                            <w:pPr>
                              <w:numPr>
                                <w:ilvl w:val="0"/>
                                <w:numId w:val="35"/>
                              </w:numPr>
                              <w:tabs>
                                <w:tab w:val="clear" w:pos="720"/>
                              </w:tabs>
                              <w:overflowPunct/>
                              <w:autoSpaceDE/>
                              <w:autoSpaceDN/>
                              <w:adjustRightInd/>
                              <w:spacing w:after="0" w:line="259" w:lineRule="auto"/>
                              <w:ind w:left="1080"/>
                              <w:contextualSpacing/>
                              <w:textAlignment w:val="auto"/>
                              <w:rPr>
                                <w:color w:val="181818"/>
                                <w:lang w:eastAsia="en-US"/>
                              </w:rPr>
                            </w:pPr>
                            <w:r w:rsidRPr="00FC1E85">
                              <w:rPr>
                                <w:rFonts w:eastAsia="Batang"/>
                                <w:color w:val="181818"/>
                                <w:spacing w:val="-6"/>
                                <w:kern w:val="20"/>
                                <w:lang w:eastAsia="en-US"/>
                              </w:rPr>
                              <w:t>Related UE capability(</w:t>
                            </w:r>
                            <w:proofErr w:type="spellStart"/>
                            <w:r w:rsidRPr="00FC1E85">
                              <w:rPr>
                                <w:rFonts w:eastAsia="Batang"/>
                                <w:color w:val="181818"/>
                                <w:spacing w:val="-6"/>
                                <w:kern w:val="20"/>
                                <w:lang w:eastAsia="en-US"/>
                              </w:rPr>
                              <w:t>ies</w:t>
                            </w:r>
                            <w:proofErr w:type="spellEnd"/>
                            <w:r w:rsidRPr="00FC1E85">
                              <w:rPr>
                                <w:rFonts w:eastAsia="Batang"/>
                                <w:color w:val="181818"/>
                                <w:spacing w:val="-6"/>
                                <w:kern w:val="20"/>
                                <w:lang w:eastAsia="en-US"/>
                              </w:rPr>
                              <w:t>) for processing timelines</w:t>
                            </w:r>
                          </w:p>
                          <w:p w14:paraId="3311E331" w14:textId="77777777" w:rsidR="00BE31F7" w:rsidRPr="00FC1E85" w:rsidRDefault="00BE31F7" w:rsidP="009F48EE">
                            <w:pPr>
                              <w:numPr>
                                <w:ilvl w:val="0"/>
                                <w:numId w:val="35"/>
                              </w:numPr>
                              <w:tabs>
                                <w:tab w:val="clear" w:pos="720"/>
                              </w:tabs>
                              <w:overflowPunct/>
                              <w:autoSpaceDE/>
                              <w:autoSpaceDN/>
                              <w:adjustRightInd/>
                              <w:spacing w:after="0" w:line="259" w:lineRule="auto"/>
                              <w:ind w:left="1080"/>
                              <w:contextualSpacing/>
                              <w:textAlignment w:val="auto"/>
                              <w:rPr>
                                <w:color w:val="181818"/>
                                <w:lang w:eastAsia="en-US"/>
                              </w:rPr>
                            </w:pPr>
                            <w:r w:rsidRPr="00FC1E85">
                              <w:rPr>
                                <w:rFonts w:eastAsia="Batang"/>
                                <w:color w:val="181818"/>
                                <w:spacing w:val="-6"/>
                                <w:kern w:val="20"/>
                                <w:lang w:eastAsia="en-US"/>
                              </w:rPr>
                              <w:t>minimum guard period between two SRS resources of an SRS resource set for antenna switching</w:t>
                            </w:r>
                          </w:p>
                          <w:p w14:paraId="1824C9A2" w14:textId="4AD75620" w:rsidR="00BE31F7" w:rsidRPr="00FC1E85" w:rsidRDefault="00BE31F7" w:rsidP="009F48EE">
                            <w:pPr>
                              <w:overflowPunct/>
                              <w:autoSpaceDE/>
                              <w:autoSpaceDN/>
                              <w:adjustRightInd/>
                              <w:spacing w:after="0"/>
                              <w:rPr>
                                <w:lang w:eastAsia="en-US"/>
                              </w:rPr>
                            </w:pPr>
                            <w:r w:rsidRPr="00FC1E85">
                              <w:rPr>
                                <w:rFonts w:eastAsia="Batang"/>
                                <w:color w:val="181818"/>
                                <w:spacing w:val="-6"/>
                                <w:kern w:val="20"/>
                                <w:lang w:eastAsia="en-US"/>
                              </w:rPr>
                              <w:t>  </w:t>
                            </w:r>
                          </w:p>
                          <w:p w14:paraId="5657F789" w14:textId="77777777" w:rsidR="00BE31F7" w:rsidRPr="00FC1E85" w:rsidRDefault="00BE31F7" w:rsidP="009F48EE">
                            <w:pPr>
                              <w:overflowPunct/>
                              <w:autoSpaceDE/>
                              <w:autoSpaceDN/>
                              <w:adjustRightInd/>
                              <w:spacing w:after="0"/>
                              <w:rPr>
                                <w:lang w:eastAsia="en-US"/>
                              </w:rPr>
                            </w:pPr>
                            <w:r w:rsidRPr="00FC1E85">
                              <w:rPr>
                                <w:rFonts w:eastAsia="Batang"/>
                                <w:color w:val="181818"/>
                                <w:spacing w:val="-6"/>
                                <w:kern w:val="20"/>
                                <w:highlight w:val="green"/>
                                <w:lang w:eastAsia="en-US"/>
                              </w:rPr>
                              <w:t>Agreement</w:t>
                            </w:r>
                            <w:r w:rsidRPr="00FC1E85">
                              <w:rPr>
                                <w:rFonts w:eastAsia="Batang"/>
                                <w:color w:val="181818"/>
                                <w:spacing w:val="-6"/>
                                <w:kern w:val="20"/>
                                <w:lang w:eastAsia="en-US"/>
                              </w:rPr>
                              <w:t>:</w:t>
                            </w:r>
                          </w:p>
                          <w:p w14:paraId="07C018A4" w14:textId="77777777" w:rsidR="00BE31F7" w:rsidRPr="00FC1E85" w:rsidRDefault="00BE31F7" w:rsidP="009F48EE">
                            <w:pPr>
                              <w:overflowPunct/>
                              <w:autoSpaceDE/>
                              <w:autoSpaceDN/>
                              <w:adjustRightInd/>
                              <w:spacing w:after="0"/>
                              <w:rPr>
                                <w:lang w:eastAsia="en-US"/>
                              </w:rPr>
                            </w:pPr>
                            <w:r w:rsidRPr="00FC1E85">
                              <w:rPr>
                                <w:rFonts w:eastAsia="Batang"/>
                                <w:color w:val="181818"/>
                                <w:spacing w:val="-6"/>
                                <w:kern w:val="20"/>
                                <w:lang w:eastAsia="en-US"/>
                              </w:rPr>
                              <w:t>Consider at least the following aspects of PDCCH monitoring for a given SCS</w:t>
                            </w:r>
                          </w:p>
                          <w:p w14:paraId="6F7E0532" w14:textId="77777777" w:rsidR="00BE31F7" w:rsidRPr="00FC1E85" w:rsidRDefault="00BE31F7" w:rsidP="009F48EE">
                            <w:pPr>
                              <w:numPr>
                                <w:ilvl w:val="0"/>
                                <w:numId w:val="36"/>
                              </w:numPr>
                              <w:tabs>
                                <w:tab w:val="num" w:pos="720"/>
                              </w:tabs>
                              <w:overflowPunct/>
                              <w:autoSpaceDE/>
                              <w:autoSpaceDN/>
                              <w:adjustRightInd/>
                              <w:spacing w:after="0" w:line="259" w:lineRule="auto"/>
                              <w:ind w:left="1080"/>
                              <w:contextualSpacing/>
                              <w:textAlignment w:val="auto"/>
                              <w:rPr>
                                <w:color w:val="181818"/>
                                <w:lang w:eastAsia="en-US"/>
                              </w:rPr>
                            </w:pPr>
                            <w:r w:rsidRPr="00FC1E85">
                              <w:rPr>
                                <w:rFonts w:eastAsia="Batang"/>
                                <w:color w:val="181818"/>
                                <w:spacing w:val="-6"/>
                                <w:kern w:val="20"/>
                                <w:lang w:eastAsia="en-US"/>
                              </w:rPr>
                              <w:t>For new SCS, if agreed, that are not supported in Rel-15/16 NR,</w:t>
                            </w:r>
                          </w:p>
                          <w:p w14:paraId="509A4327" w14:textId="77777777" w:rsidR="00BE31F7" w:rsidRPr="00FC1E85" w:rsidRDefault="00BE31F7" w:rsidP="009F48EE">
                            <w:pPr>
                              <w:numPr>
                                <w:ilvl w:val="1"/>
                                <w:numId w:val="36"/>
                              </w:numPr>
                              <w:tabs>
                                <w:tab w:val="num" w:pos="1440"/>
                              </w:tabs>
                              <w:overflowPunct/>
                              <w:autoSpaceDE/>
                              <w:autoSpaceDN/>
                              <w:adjustRightInd/>
                              <w:spacing w:after="0" w:line="259" w:lineRule="auto"/>
                              <w:ind w:left="1800"/>
                              <w:contextualSpacing/>
                              <w:textAlignment w:val="auto"/>
                              <w:rPr>
                                <w:color w:val="181818"/>
                                <w:lang w:eastAsia="en-US"/>
                              </w:rPr>
                            </w:pPr>
                            <w:r w:rsidRPr="00FC1E85">
                              <w:rPr>
                                <w:rFonts w:eastAsia="Batang"/>
                                <w:color w:val="181818"/>
                                <w:spacing w:val="-6"/>
                                <w:kern w:val="20"/>
                                <w:lang w:eastAsia="en-US"/>
                              </w:rPr>
                              <w:t>investigate on the maximum number of BDs/CCEs for PDCCH monitoring per time unit</w:t>
                            </w:r>
                          </w:p>
                          <w:p w14:paraId="490F0FE6" w14:textId="77777777" w:rsidR="00BE31F7" w:rsidRPr="00FC1E85" w:rsidRDefault="00BE31F7" w:rsidP="009F48EE">
                            <w:pPr>
                              <w:numPr>
                                <w:ilvl w:val="2"/>
                                <w:numId w:val="36"/>
                              </w:numPr>
                              <w:tabs>
                                <w:tab w:val="num" w:pos="2160"/>
                              </w:tabs>
                              <w:overflowPunct/>
                              <w:autoSpaceDE/>
                              <w:autoSpaceDN/>
                              <w:adjustRightInd/>
                              <w:spacing w:after="0" w:line="259" w:lineRule="auto"/>
                              <w:ind w:left="2520"/>
                              <w:contextualSpacing/>
                              <w:textAlignment w:val="auto"/>
                              <w:rPr>
                                <w:color w:val="181818"/>
                                <w:lang w:eastAsia="en-US"/>
                              </w:rPr>
                            </w:pPr>
                            <w:r w:rsidRPr="00FC1E85">
                              <w:rPr>
                                <w:rFonts w:eastAsia="Batang"/>
                                <w:color w:val="181818"/>
                                <w:spacing w:val="-6"/>
                                <w:kern w:val="20"/>
                                <w:lang w:eastAsia="en-US"/>
                              </w:rPr>
                              <w:t>e.g. slot as Rel-15, or new scheduling/monitoring unit</w:t>
                            </w:r>
                          </w:p>
                          <w:p w14:paraId="61E1D780" w14:textId="77777777" w:rsidR="00BE31F7" w:rsidRPr="00FC1E85" w:rsidRDefault="00BE31F7" w:rsidP="009F48EE">
                            <w:pPr>
                              <w:numPr>
                                <w:ilvl w:val="1"/>
                                <w:numId w:val="36"/>
                              </w:numPr>
                              <w:tabs>
                                <w:tab w:val="num" w:pos="1440"/>
                              </w:tabs>
                              <w:overflowPunct/>
                              <w:autoSpaceDE/>
                              <w:autoSpaceDN/>
                              <w:adjustRightInd/>
                              <w:spacing w:after="0" w:line="259" w:lineRule="auto"/>
                              <w:ind w:left="1800"/>
                              <w:contextualSpacing/>
                              <w:textAlignment w:val="auto"/>
                              <w:rPr>
                                <w:color w:val="181818"/>
                                <w:lang w:eastAsia="en-US"/>
                              </w:rPr>
                            </w:pPr>
                            <w:r w:rsidRPr="00FC1E85">
                              <w:rPr>
                                <w:rFonts w:eastAsia="Batang"/>
                                <w:color w:val="181818"/>
                                <w:spacing w:val="-6"/>
                                <w:kern w:val="20"/>
                                <w:lang w:eastAsia="en-US"/>
                              </w:rPr>
                              <w:t xml:space="preserve">any potential limitation to PDCCH monitoring configurations (e.g. search spaces, DCI formats, overbooking/dropping, </w:t>
                            </w:r>
                            <w:proofErr w:type="spellStart"/>
                            <w:r w:rsidRPr="00FC1E85">
                              <w:rPr>
                                <w:rFonts w:eastAsia="Batang"/>
                                <w:color w:val="181818"/>
                                <w:spacing w:val="-6"/>
                                <w:kern w:val="20"/>
                                <w:lang w:eastAsia="en-US"/>
                              </w:rPr>
                              <w:t>etc</w:t>
                            </w:r>
                            <w:proofErr w:type="spellEnd"/>
                            <w:r w:rsidRPr="00FC1E85">
                              <w:rPr>
                                <w:rFonts w:eastAsia="Batang"/>
                                <w:color w:val="181818"/>
                                <w:spacing w:val="-6"/>
                                <w:kern w:val="20"/>
                                <w:lang w:eastAsia="en-US"/>
                              </w:rPr>
                              <w:t>) to help with UE processing, if needed</w:t>
                            </w:r>
                          </w:p>
                          <w:p w14:paraId="30152763" w14:textId="77777777" w:rsidR="00BE31F7" w:rsidRPr="00FC1E85" w:rsidRDefault="00BE31F7" w:rsidP="009F48EE">
                            <w:pPr>
                              <w:numPr>
                                <w:ilvl w:val="2"/>
                                <w:numId w:val="36"/>
                              </w:numPr>
                              <w:tabs>
                                <w:tab w:val="num" w:pos="2160"/>
                              </w:tabs>
                              <w:overflowPunct/>
                              <w:autoSpaceDE/>
                              <w:autoSpaceDN/>
                              <w:adjustRightInd/>
                              <w:spacing w:after="0" w:line="259" w:lineRule="auto"/>
                              <w:ind w:left="2520"/>
                              <w:contextualSpacing/>
                              <w:textAlignment w:val="auto"/>
                              <w:rPr>
                                <w:color w:val="181818"/>
                                <w:lang w:eastAsia="en-US"/>
                              </w:rPr>
                            </w:pPr>
                            <w:r w:rsidRPr="00FC1E85">
                              <w:rPr>
                                <w:rFonts w:eastAsia="Batang"/>
                                <w:color w:val="181818"/>
                                <w:spacing w:val="-6"/>
                                <w:kern w:val="20"/>
                                <w:lang w:eastAsia="en-US"/>
                              </w:rPr>
                              <w:t>e.g. increased minimum PDCCH monitoring unit</w:t>
                            </w:r>
                          </w:p>
                          <w:p w14:paraId="3694CB4B" w14:textId="77777777" w:rsidR="00BE31F7" w:rsidRPr="00FC1E85" w:rsidRDefault="00BE31F7" w:rsidP="009F48EE">
                            <w:pPr>
                              <w:numPr>
                                <w:ilvl w:val="1"/>
                                <w:numId w:val="36"/>
                              </w:numPr>
                              <w:tabs>
                                <w:tab w:val="num" w:pos="1440"/>
                              </w:tabs>
                              <w:overflowPunct/>
                              <w:autoSpaceDE/>
                              <w:autoSpaceDN/>
                              <w:adjustRightInd/>
                              <w:spacing w:after="0" w:line="259" w:lineRule="auto"/>
                              <w:ind w:left="1800"/>
                              <w:contextualSpacing/>
                              <w:textAlignment w:val="auto"/>
                              <w:rPr>
                                <w:color w:val="181818"/>
                                <w:lang w:eastAsia="en-US"/>
                              </w:rPr>
                            </w:pPr>
                            <w:r w:rsidRPr="00FC1E85">
                              <w:rPr>
                                <w:rFonts w:eastAsia="Batang"/>
                                <w:color w:val="181818"/>
                                <w:spacing w:val="-6"/>
                                <w:kern w:val="20"/>
                                <w:lang w:eastAsia="en-US"/>
                              </w:rPr>
                              <w:t>potential enhancements for CORESET, if needed</w:t>
                            </w:r>
                          </w:p>
                          <w:p w14:paraId="0547DD48" w14:textId="77777777" w:rsidR="00BE31F7" w:rsidRPr="00B77ED2" w:rsidRDefault="00BE31F7" w:rsidP="009F48EE">
                            <w:pPr>
                              <w:numPr>
                                <w:ilvl w:val="1"/>
                                <w:numId w:val="36"/>
                              </w:numPr>
                              <w:tabs>
                                <w:tab w:val="num" w:pos="1440"/>
                              </w:tabs>
                              <w:overflowPunct/>
                              <w:autoSpaceDE/>
                              <w:autoSpaceDN/>
                              <w:adjustRightInd/>
                              <w:spacing w:after="0" w:line="259" w:lineRule="auto"/>
                              <w:ind w:left="1800"/>
                              <w:contextualSpacing/>
                              <w:textAlignment w:val="auto"/>
                              <w:rPr>
                                <w:color w:val="181818"/>
                                <w:lang w:eastAsia="en-US"/>
                              </w:rPr>
                            </w:pPr>
                            <w:r w:rsidRPr="00B77ED2">
                              <w:rPr>
                                <w:rFonts w:eastAsia="Batang"/>
                                <w:color w:val="181818"/>
                                <w:spacing w:val="-6"/>
                                <w:kern w:val="20"/>
                                <w:lang w:eastAsia="en-US"/>
                              </w:rPr>
                              <w:t>related UE capability(</w:t>
                            </w:r>
                            <w:proofErr w:type="spellStart"/>
                            <w:r w:rsidRPr="00B77ED2">
                              <w:rPr>
                                <w:rFonts w:eastAsia="Batang"/>
                                <w:color w:val="181818"/>
                                <w:spacing w:val="-6"/>
                                <w:kern w:val="20"/>
                                <w:lang w:eastAsia="en-US"/>
                              </w:rPr>
                              <w:t>ies</w:t>
                            </w:r>
                            <w:proofErr w:type="spellEnd"/>
                            <w:r w:rsidRPr="00B77ED2">
                              <w:rPr>
                                <w:rFonts w:eastAsia="Batang"/>
                                <w:color w:val="181818"/>
                                <w:spacing w:val="-6"/>
                                <w:kern w:val="20"/>
                                <w:lang w:eastAsia="en-US"/>
                              </w:rPr>
                              <w:t>) for PDCCH processing</w:t>
                            </w:r>
                          </w:p>
                        </w:txbxContent>
                      </wps:txbx>
                      <wps:bodyPr rot="0" vert="horz" wrap="square" lIns="91440" tIns="45720" rIns="91440" bIns="45720" anchor="t" anchorCtr="0">
                        <a:spAutoFit/>
                      </wps:bodyPr>
                    </wps:wsp>
                  </a:graphicData>
                </a:graphic>
              </wp:inline>
            </w:drawing>
          </mc:Choice>
          <mc:Fallback>
            <w:pict>
              <v:shape w14:anchorId="4895AD7F" id="_x0000_s1029" type="#_x0000_t202" style="width:479.25pt;height:6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">
                <v:textbox style="mso-fit-shape-to-text:t">
                  <w:txbxContent>
                    <w:p w14:paraId="422669DB" w14:textId="77777777" w:rsidR="00BE31F7" w:rsidRPr="00FC1E85" w:rsidRDefault="00BE31F7" w:rsidP="009F48EE">
                      <w:pPr>
                        <w:overflowPunct/>
                        <w:autoSpaceDE/>
                        <w:autoSpaceDN/>
                        <w:adjustRightInd/>
                        <w:spacing w:after="0"/>
                        <w:rPr>
                          <w:lang w:eastAsia="en-US"/>
                        </w:rPr>
                      </w:pPr>
                      <w:r w:rsidRPr="00FC1E85">
                        <w:rPr>
                          <w:rFonts w:eastAsia="Batang"/>
                          <w:color w:val="181818"/>
                          <w:spacing w:val="-6"/>
                          <w:kern w:val="20"/>
                          <w:highlight w:val="green"/>
                          <w:lang w:eastAsia="en-US"/>
                        </w:rPr>
                        <w:t>Agreement</w:t>
                      </w:r>
                      <w:r w:rsidRPr="00FC1E85">
                        <w:rPr>
                          <w:rFonts w:eastAsia="Batang"/>
                          <w:color w:val="181818"/>
                          <w:spacing w:val="-6"/>
                          <w:kern w:val="20"/>
                          <w:lang w:eastAsia="en-US"/>
                        </w:rPr>
                        <w:t>:</w:t>
                      </w:r>
                    </w:p>
                    <w:p w14:paraId="56B7DDE2" w14:textId="77777777" w:rsidR="00BE31F7" w:rsidRPr="00FC1E85" w:rsidRDefault="00BE31F7" w:rsidP="009F48EE">
                      <w:pPr>
                        <w:overflowPunct/>
                        <w:autoSpaceDE/>
                        <w:autoSpaceDN/>
                        <w:adjustRightInd/>
                        <w:spacing w:after="0"/>
                        <w:rPr>
                          <w:lang w:eastAsia="en-US"/>
                        </w:rPr>
                      </w:pPr>
                      <w:r w:rsidRPr="00FC1E85">
                        <w:rPr>
                          <w:rFonts w:eastAsia="Batang"/>
                          <w:color w:val="181818"/>
                          <w:spacing w:val="-6"/>
                          <w:kern w:val="20"/>
                          <w:lang w:eastAsia="en-US"/>
                        </w:rPr>
                        <w:t>Consider at least the following aspects of processing timelines for new SCS (if agreed) that are not currently supported,</w:t>
                      </w:r>
                    </w:p>
                    <w:p w14:paraId="66C81372" w14:textId="77777777" w:rsidR="00BE31F7" w:rsidRPr="00FC1E85" w:rsidRDefault="00BE31F7" w:rsidP="009F48EE">
                      <w:pPr>
                        <w:numPr>
                          <w:ilvl w:val="0"/>
                          <w:numId w:val="35"/>
                        </w:numPr>
                        <w:tabs>
                          <w:tab w:val="clear" w:pos="720"/>
                        </w:tabs>
                        <w:overflowPunct/>
                        <w:autoSpaceDE/>
                        <w:autoSpaceDN/>
                        <w:adjustRightInd/>
                        <w:spacing w:after="0" w:line="259" w:lineRule="auto"/>
                        <w:ind w:left="1080"/>
                        <w:contextualSpacing/>
                        <w:textAlignment w:val="auto"/>
                        <w:rPr>
                          <w:color w:val="181818"/>
                          <w:lang w:eastAsia="en-US"/>
                        </w:rPr>
                      </w:pPr>
                      <w:r w:rsidRPr="00FC1E85">
                        <w:rPr>
                          <w:rFonts w:eastAsia="Batang"/>
                          <w:color w:val="181818"/>
                          <w:spacing w:val="-6"/>
                          <w:kern w:val="20"/>
                          <w:lang w:eastAsia="en-US"/>
                        </w:rPr>
                        <w:t>appropriate configuration(s) of k0, k1, k2,</w:t>
                      </w:r>
                    </w:p>
                    <w:p w14:paraId="249EEF48" w14:textId="77777777" w:rsidR="00BE31F7" w:rsidRPr="00FC1E85" w:rsidRDefault="00BE31F7" w:rsidP="009F48EE">
                      <w:pPr>
                        <w:numPr>
                          <w:ilvl w:val="0"/>
                          <w:numId w:val="35"/>
                        </w:numPr>
                        <w:tabs>
                          <w:tab w:val="clear" w:pos="720"/>
                        </w:tabs>
                        <w:overflowPunct/>
                        <w:autoSpaceDE/>
                        <w:autoSpaceDN/>
                        <w:adjustRightInd/>
                        <w:spacing w:after="0" w:line="259" w:lineRule="auto"/>
                        <w:ind w:left="1080"/>
                        <w:contextualSpacing/>
                        <w:textAlignment w:val="auto"/>
                        <w:rPr>
                          <w:color w:val="181818"/>
                          <w:lang w:eastAsia="en-US"/>
                        </w:rPr>
                      </w:pPr>
                      <w:r w:rsidRPr="00FC1E85">
                        <w:rPr>
                          <w:rFonts w:eastAsia="Batang"/>
                          <w:color w:val="181818"/>
                          <w:spacing w:val="-6"/>
                          <w:kern w:val="20"/>
                          <w:lang w:eastAsia="en-US"/>
                        </w:rPr>
                        <w:t>PDSCH processing time (N1),</w:t>
                      </w:r>
                    </w:p>
                    <w:p w14:paraId="004E6218" w14:textId="77777777" w:rsidR="00BE31F7" w:rsidRPr="00FC1E85" w:rsidRDefault="00BE31F7" w:rsidP="009F48EE">
                      <w:pPr>
                        <w:numPr>
                          <w:ilvl w:val="0"/>
                          <w:numId w:val="35"/>
                        </w:numPr>
                        <w:tabs>
                          <w:tab w:val="clear" w:pos="720"/>
                        </w:tabs>
                        <w:overflowPunct/>
                        <w:autoSpaceDE/>
                        <w:autoSpaceDN/>
                        <w:adjustRightInd/>
                        <w:spacing w:after="0" w:line="259" w:lineRule="auto"/>
                        <w:ind w:left="1080"/>
                        <w:contextualSpacing/>
                        <w:textAlignment w:val="auto"/>
                        <w:rPr>
                          <w:color w:val="181818"/>
                          <w:lang w:eastAsia="en-US"/>
                        </w:rPr>
                      </w:pPr>
                      <w:r w:rsidRPr="00FC1E85">
                        <w:rPr>
                          <w:rFonts w:eastAsia="Batang"/>
                          <w:color w:val="181818"/>
                          <w:spacing w:val="-6"/>
                          <w:kern w:val="20"/>
                          <w:lang w:eastAsia="en-US"/>
                        </w:rPr>
                        <w:t>PUSCH preparation time (N2),</w:t>
                      </w:r>
                    </w:p>
                    <w:p w14:paraId="5A15EA64" w14:textId="77777777" w:rsidR="00BE31F7" w:rsidRPr="004F69A1" w:rsidRDefault="00BE31F7" w:rsidP="009F48EE">
                      <w:pPr>
                        <w:numPr>
                          <w:ilvl w:val="0"/>
                          <w:numId w:val="35"/>
                        </w:numPr>
                        <w:tabs>
                          <w:tab w:val="clear" w:pos="720"/>
                        </w:tabs>
                        <w:overflowPunct/>
                        <w:autoSpaceDE/>
                        <w:autoSpaceDN/>
                        <w:adjustRightInd/>
                        <w:spacing w:after="0" w:line="259" w:lineRule="auto"/>
                        <w:ind w:left="1080"/>
                        <w:contextualSpacing/>
                        <w:textAlignment w:val="auto"/>
                        <w:rPr>
                          <w:color w:val="181818"/>
                          <w:lang w:eastAsia="en-US"/>
                        </w:rPr>
                      </w:pPr>
                      <w:r w:rsidRPr="004F69A1">
                        <w:rPr>
                          <w:rFonts w:eastAsia="Batang"/>
                          <w:color w:val="181818"/>
                          <w:spacing w:val="-6"/>
                          <w:kern w:val="20"/>
                          <w:lang w:eastAsia="en-US"/>
                        </w:rPr>
                        <w:t>HARQ-ACK multiplexing timeline (N3)</w:t>
                      </w:r>
                    </w:p>
                    <w:p w14:paraId="15CDD699" w14:textId="77777777" w:rsidR="00BE31F7" w:rsidRPr="004F69A1" w:rsidRDefault="00BE31F7" w:rsidP="009F48EE">
                      <w:pPr>
                        <w:numPr>
                          <w:ilvl w:val="0"/>
                          <w:numId w:val="35"/>
                        </w:numPr>
                        <w:tabs>
                          <w:tab w:val="clear" w:pos="720"/>
                        </w:tabs>
                        <w:overflowPunct/>
                        <w:autoSpaceDE/>
                        <w:autoSpaceDN/>
                        <w:adjustRightInd/>
                        <w:spacing w:after="0" w:line="259" w:lineRule="auto"/>
                        <w:ind w:left="1080"/>
                        <w:contextualSpacing/>
                        <w:textAlignment w:val="auto"/>
                        <w:rPr>
                          <w:color w:val="181818"/>
                          <w:lang w:eastAsia="en-US"/>
                        </w:rPr>
                      </w:pPr>
                      <w:r w:rsidRPr="004F69A1">
                        <w:rPr>
                          <w:rFonts w:eastAsia="Batang"/>
                          <w:color w:val="181818"/>
                          <w:spacing w:val="-6"/>
                          <w:kern w:val="20"/>
                          <w:lang w:eastAsia="en-US"/>
                        </w:rPr>
                        <w:t>CSI processing time, Z1, Z2, and Z3, and CSI processing units</w:t>
                      </w:r>
                      <w:r w:rsidRPr="004F69A1">
                        <w:rPr>
                          <w:rFonts w:eastAsiaTheme="minorHAnsi"/>
                          <w:lang w:eastAsia="en-US"/>
                        </w:rPr>
                        <w:annotationRef/>
                      </w:r>
                    </w:p>
                    <w:p w14:paraId="14AE6C66" w14:textId="77777777" w:rsidR="00BE31F7" w:rsidRPr="00FC1E85" w:rsidRDefault="00BE31F7" w:rsidP="009F48EE">
                      <w:pPr>
                        <w:numPr>
                          <w:ilvl w:val="0"/>
                          <w:numId w:val="35"/>
                        </w:numPr>
                        <w:tabs>
                          <w:tab w:val="clear" w:pos="720"/>
                        </w:tabs>
                        <w:overflowPunct/>
                        <w:autoSpaceDE/>
                        <w:autoSpaceDN/>
                        <w:adjustRightInd/>
                        <w:spacing w:after="0" w:line="259" w:lineRule="auto"/>
                        <w:ind w:left="1080"/>
                        <w:contextualSpacing/>
                        <w:textAlignment w:val="auto"/>
                        <w:rPr>
                          <w:color w:val="181818"/>
                          <w:lang w:eastAsia="en-US"/>
                        </w:rPr>
                      </w:pPr>
                      <w:r w:rsidRPr="00FC1E85">
                        <w:rPr>
                          <w:rFonts w:eastAsia="Batang"/>
                          <w:color w:val="181818"/>
                          <w:spacing w:val="-6"/>
                          <w:kern w:val="20"/>
                          <w:lang w:eastAsia="en-US"/>
                        </w:rPr>
                        <w:t>Any potential enhancements to CPU occupation calculation</w:t>
                      </w:r>
                    </w:p>
                    <w:p w14:paraId="02813D1B" w14:textId="77777777" w:rsidR="00BE31F7" w:rsidRPr="00FC1E85" w:rsidRDefault="00BE31F7" w:rsidP="009F48EE">
                      <w:pPr>
                        <w:numPr>
                          <w:ilvl w:val="0"/>
                          <w:numId w:val="35"/>
                        </w:numPr>
                        <w:tabs>
                          <w:tab w:val="clear" w:pos="720"/>
                        </w:tabs>
                        <w:overflowPunct/>
                        <w:autoSpaceDE/>
                        <w:autoSpaceDN/>
                        <w:adjustRightInd/>
                        <w:spacing w:after="0" w:line="259" w:lineRule="auto"/>
                        <w:ind w:left="1080"/>
                        <w:contextualSpacing/>
                        <w:textAlignment w:val="auto"/>
                        <w:rPr>
                          <w:color w:val="181818"/>
                          <w:lang w:eastAsia="en-US"/>
                        </w:rPr>
                      </w:pPr>
                      <w:r w:rsidRPr="00FC1E85">
                        <w:rPr>
                          <w:rFonts w:eastAsia="Batang"/>
                          <w:color w:val="181818"/>
                          <w:spacing w:val="-6"/>
                          <w:kern w:val="20"/>
                          <w:lang w:eastAsia="en-US"/>
                        </w:rPr>
                        <w:t>Related UE capability(</w:t>
                      </w:r>
                      <w:proofErr w:type="spellStart"/>
                      <w:r w:rsidRPr="00FC1E85">
                        <w:rPr>
                          <w:rFonts w:eastAsia="Batang"/>
                          <w:color w:val="181818"/>
                          <w:spacing w:val="-6"/>
                          <w:kern w:val="20"/>
                          <w:lang w:eastAsia="en-US"/>
                        </w:rPr>
                        <w:t>ies</w:t>
                      </w:r>
                      <w:proofErr w:type="spellEnd"/>
                      <w:r w:rsidRPr="00FC1E85">
                        <w:rPr>
                          <w:rFonts w:eastAsia="Batang"/>
                          <w:color w:val="181818"/>
                          <w:spacing w:val="-6"/>
                          <w:kern w:val="20"/>
                          <w:lang w:eastAsia="en-US"/>
                        </w:rPr>
                        <w:t>) for processing timelines</w:t>
                      </w:r>
                    </w:p>
                    <w:p w14:paraId="3311E331" w14:textId="77777777" w:rsidR="00BE31F7" w:rsidRPr="00FC1E85" w:rsidRDefault="00BE31F7" w:rsidP="009F48EE">
                      <w:pPr>
                        <w:numPr>
                          <w:ilvl w:val="0"/>
                          <w:numId w:val="35"/>
                        </w:numPr>
                        <w:tabs>
                          <w:tab w:val="clear" w:pos="720"/>
                        </w:tabs>
                        <w:overflowPunct/>
                        <w:autoSpaceDE/>
                        <w:autoSpaceDN/>
                        <w:adjustRightInd/>
                        <w:spacing w:after="0" w:line="259" w:lineRule="auto"/>
                        <w:ind w:left="1080"/>
                        <w:contextualSpacing/>
                        <w:textAlignment w:val="auto"/>
                        <w:rPr>
                          <w:color w:val="181818"/>
                          <w:lang w:eastAsia="en-US"/>
                        </w:rPr>
                      </w:pPr>
                      <w:r w:rsidRPr="00FC1E85">
                        <w:rPr>
                          <w:rFonts w:eastAsia="Batang"/>
                          <w:color w:val="181818"/>
                          <w:spacing w:val="-6"/>
                          <w:kern w:val="20"/>
                          <w:lang w:eastAsia="en-US"/>
                        </w:rPr>
                        <w:t>minimum guard period between two SRS resources of an SRS resource set for antenna switching</w:t>
                      </w:r>
                    </w:p>
                    <w:p w14:paraId="1824C9A2" w14:textId="4AD75620" w:rsidR="00BE31F7" w:rsidRPr="00FC1E85" w:rsidRDefault="00BE31F7" w:rsidP="009F48EE">
                      <w:pPr>
                        <w:overflowPunct/>
                        <w:autoSpaceDE/>
                        <w:autoSpaceDN/>
                        <w:adjustRightInd/>
                        <w:spacing w:after="0"/>
                        <w:rPr>
                          <w:lang w:eastAsia="en-US"/>
                        </w:rPr>
                      </w:pPr>
                      <w:r w:rsidRPr="00FC1E85">
                        <w:rPr>
                          <w:rFonts w:eastAsia="Batang"/>
                          <w:color w:val="181818"/>
                          <w:spacing w:val="-6"/>
                          <w:kern w:val="20"/>
                          <w:lang w:eastAsia="en-US"/>
                        </w:rPr>
                        <w:t>  </w:t>
                      </w:r>
                    </w:p>
                    <w:p w14:paraId="5657F789" w14:textId="77777777" w:rsidR="00BE31F7" w:rsidRPr="00FC1E85" w:rsidRDefault="00BE31F7" w:rsidP="009F48EE">
                      <w:pPr>
                        <w:overflowPunct/>
                        <w:autoSpaceDE/>
                        <w:autoSpaceDN/>
                        <w:adjustRightInd/>
                        <w:spacing w:after="0"/>
                        <w:rPr>
                          <w:lang w:eastAsia="en-US"/>
                        </w:rPr>
                      </w:pPr>
                      <w:r w:rsidRPr="00FC1E85">
                        <w:rPr>
                          <w:rFonts w:eastAsia="Batang"/>
                          <w:color w:val="181818"/>
                          <w:spacing w:val="-6"/>
                          <w:kern w:val="20"/>
                          <w:highlight w:val="green"/>
                          <w:lang w:eastAsia="en-US"/>
                        </w:rPr>
                        <w:t>Agreement</w:t>
                      </w:r>
                      <w:r w:rsidRPr="00FC1E85">
                        <w:rPr>
                          <w:rFonts w:eastAsia="Batang"/>
                          <w:color w:val="181818"/>
                          <w:spacing w:val="-6"/>
                          <w:kern w:val="20"/>
                          <w:lang w:eastAsia="en-US"/>
                        </w:rPr>
                        <w:t>:</w:t>
                      </w:r>
                    </w:p>
                    <w:p w14:paraId="07C018A4" w14:textId="77777777" w:rsidR="00BE31F7" w:rsidRPr="00FC1E85" w:rsidRDefault="00BE31F7" w:rsidP="009F48EE">
                      <w:pPr>
                        <w:overflowPunct/>
                        <w:autoSpaceDE/>
                        <w:autoSpaceDN/>
                        <w:adjustRightInd/>
                        <w:spacing w:after="0"/>
                        <w:rPr>
                          <w:lang w:eastAsia="en-US"/>
                        </w:rPr>
                      </w:pPr>
                      <w:r w:rsidRPr="00FC1E85">
                        <w:rPr>
                          <w:rFonts w:eastAsia="Batang"/>
                          <w:color w:val="181818"/>
                          <w:spacing w:val="-6"/>
                          <w:kern w:val="20"/>
                          <w:lang w:eastAsia="en-US"/>
                        </w:rPr>
                        <w:t>Consider at least the following aspects of PDCCH monitoring for a given SCS</w:t>
                      </w:r>
                    </w:p>
                    <w:p w14:paraId="6F7E0532" w14:textId="77777777" w:rsidR="00BE31F7" w:rsidRPr="00FC1E85" w:rsidRDefault="00BE31F7" w:rsidP="009F48EE">
                      <w:pPr>
                        <w:numPr>
                          <w:ilvl w:val="0"/>
                          <w:numId w:val="36"/>
                        </w:numPr>
                        <w:tabs>
                          <w:tab w:val="num" w:pos="720"/>
                        </w:tabs>
                        <w:overflowPunct/>
                        <w:autoSpaceDE/>
                        <w:autoSpaceDN/>
                        <w:adjustRightInd/>
                        <w:spacing w:after="0" w:line="259" w:lineRule="auto"/>
                        <w:ind w:left="1080"/>
                        <w:contextualSpacing/>
                        <w:textAlignment w:val="auto"/>
                        <w:rPr>
                          <w:color w:val="181818"/>
                          <w:lang w:eastAsia="en-US"/>
                        </w:rPr>
                      </w:pPr>
                      <w:r w:rsidRPr="00FC1E85">
                        <w:rPr>
                          <w:rFonts w:eastAsia="Batang"/>
                          <w:color w:val="181818"/>
                          <w:spacing w:val="-6"/>
                          <w:kern w:val="20"/>
                          <w:lang w:eastAsia="en-US"/>
                        </w:rPr>
                        <w:t>For new SCS, if agreed, that are not supported in Rel-15/16 NR,</w:t>
                      </w:r>
                    </w:p>
                    <w:p w14:paraId="509A4327" w14:textId="77777777" w:rsidR="00BE31F7" w:rsidRPr="00FC1E85" w:rsidRDefault="00BE31F7" w:rsidP="009F48EE">
                      <w:pPr>
                        <w:numPr>
                          <w:ilvl w:val="1"/>
                          <w:numId w:val="36"/>
                        </w:numPr>
                        <w:tabs>
                          <w:tab w:val="num" w:pos="1440"/>
                        </w:tabs>
                        <w:overflowPunct/>
                        <w:autoSpaceDE/>
                        <w:autoSpaceDN/>
                        <w:adjustRightInd/>
                        <w:spacing w:after="0" w:line="259" w:lineRule="auto"/>
                        <w:ind w:left="1800"/>
                        <w:contextualSpacing/>
                        <w:textAlignment w:val="auto"/>
                        <w:rPr>
                          <w:color w:val="181818"/>
                          <w:lang w:eastAsia="en-US"/>
                        </w:rPr>
                      </w:pPr>
                      <w:r w:rsidRPr="00FC1E85">
                        <w:rPr>
                          <w:rFonts w:eastAsia="Batang"/>
                          <w:color w:val="181818"/>
                          <w:spacing w:val="-6"/>
                          <w:kern w:val="20"/>
                          <w:lang w:eastAsia="en-US"/>
                        </w:rPr>
                        <w:t>investigate on the maximum number of BDs/CCEs for PDCCH monitoring per time unit</w:t>
                      </w:r>
                    </w:p>
                    <w:p w14:paraId="490F0FE6" w14:textId="77777777" w:rsidR="00BE31F7" w:rsidRPr="00FC1E85" w:rsidRDefault="00BE31F7" w:rsidP="009F48EE">
                      <w:pPr>
                        <w:numPr>
                          <w:ilvl w:val="2"/>
                          <w:numId w:val="36"/>
                        </w:numPr>
                        <w:tabs>
                          <w:tab w:val="num" w:pos="2160"/>
                        </w:tabs>
                        <w:overflowPunct/>
                        <w:autoSpaceDE/>
                        <w:autoSpaceDN/>
                        <w:adjustRightInd/>
                        <w:spacing w:after="0" w:line="259" w:lineRule="auto"/>
                        <w:ind w:left="2520"/>
                        <w:contextualSpacing/>
                        <w:textAlignment w:val="auto"/>
                        <w:rPr>
                          <w:color w:val="181818"/>
                          <w:lang w:eastAsia="en-US"/>
                        </w:rPr>
                      </w:pPr>
                      <w:r w:rsidRPr="00FC1E85">
                        <w:rPr>
                          <w:rFonts w:eastAsia="Batang"/>
                          <w:color w:val="181818"/>
                          <w:spacing w:val="-6"/>
                          <w:kern w:val="20"/>
                          <w:lang w:eastAsia="en-US"/>
                        </w:rPr>
                        <w:t>e.g. slot as Rel-15, or new scheduling/monitoring unit</w:t>
                      </w:r>
                    </w:p>
                    <w:p w14:paraId="61E1D780" w14:textId="77777777" w:rsidR="00BE31F7" w:rsidRPr="00FC1E85" w:rsidRDefault="00BE31F7" w:rsidP="009F48EE">
                      <w:pPr>
                        <w:numPr>
                          <w:ilvl w:val="1"/>
                          <w:numId w:val="36"/>
                        </w:numPr>
                        <w:tabs>
                          <w:tab w:val="num" w:pos="1440"/>
                        </w:tabs>
                        <w:overflowPunct/>
                        <w:autoSpaceDE/>
                        <w:autoSpaceDN/>
                        <w:adjustRightInd/>
                        <w:spacing w:after="0" w:line="259" w:lineRule="auto"/>
                        <w:ind w:left="1800"/>
                        <w:contextualSpacing/>
                        <w:textAlignment w:val="auto"/>
                        <w:rPr>
                          <w:color w:val="181818"/>
                          <w:lang w:eastAsia="en-US"/>
                        </w:rPr>
                      </w:pPr>
                      <w:r w:rsidRPr="00FC1E85">
                        <w:rPr>
                          <w:rFonts w:eastAsia="Batang"/>
                          <w:color w:val="181818"/>
                          <w:spacing w:val="-6"/>
                          <w:kern w:val="20"/>
                          <w:lang w:eastAsia="en-US"/>
                        </w:rPr>
                        <w:t xml:space="preserve">any potential limitation to PDCCH monitoring configurations (e.g. search spaces, DCI formats, overbooking/dropping, </w:t>
                      </w:r>
                      <w:proofErr w:type="spellStart"/>
                      <w:r w:rsidRPr="00FC1E85">
                        <w:rPr>
                          <w:rFonts w:eastAsia="Batang"/>
                          <w:color w:val="181818"/>
                          <w:spacing w:val="-6"/>
                          <w:kern w:val="20"/>
                          <w:lang w:eastAsia="en-US"/>
                        </w:rPr>
                        <w:t>etc</w:t>
                      </w:r>
                      <w:proofErr w:type="spellEnd"/>
                      <w:r w:rsidRPr="00FC1E85">
                        <w:rPr>
                          <w:rFonts w:eastAsia="Batang"/>
                          <w:color w:val="181818"/>
                          <w:spacing w:val="-6"/>
                          <w:kern w:val="20"/>
                          <w:lang w:eastAsia="en-US"/>
                        </w:rPr>
                        <w:t>) to help with UE processing, if needed</w:t>
                      </w:r>
                    </w:p>
                    <w:p w14:paraId="30152763" w14:textId="77777777" w:rsidR="00BE31F7" w:rsidRPr="00FC1E85" w:rsidRDefault="00BE31F7" w:rsidP="009F48EE">
                      <w:pPr>
                        <w:numPr>
                          <w:ilvl w:val="2"/>
                          <w:numId w:val="36"/>
                        </w:numPr>
                        <w:tabs>
                          <w:tab w:val="num" w:pos="2160"/>
                        </w:tabs>
                        <w:overflowPunct/>
                        <w:autoSpaceDE/>
                        <w:autoSpaceDN/>
                        <w:adjustRightInd/>
                        <w:spacing w:after="0" w:line="259" w:lineRule="auto"/>
                        <w:ind w:left="2520"/>
                        <w:contextualSpacing/>
                        <w:textAlignment w:val="auto"/>
                        <w:rPr>
                          <w:color w:val="181818"/>
                          <w:lang w:eastAsia="en-US"/>
                        </w:rPr>
                      </w:pPr>
                      <w:r w:rsidRPr="00FC1E85">
                        <w:rPr>
                          <w:rFonts w:eastAsia="Batang"/>
                          <w:color w:val="181818"/>
                          <w:spacing w:val="-6"/>
                          <w:kern w:val="20"/>
                          <w:lang w:eastAsia="en-US"/>
                        </w:rPr>
                        <w:t>e.g. increased minimum PDCCH monitoring unit</w:t>
                      </w:r>
                    </w:p>
                    <w:p w14:paraId="3694CB4B" w14:textId="77777777" w:rsidR="00BE31F7" w:rsidRPr="00FC1E85" w:rsidRDefault="00BE31F7" w:rsidP="009F48EE">
                      <w:pPr>
                        <w:numPr>
                          <w:ilvl w:val="1"/>
                          <w:numId w:val="36"/>
                        </w:numPr>
                        <w:tabs>
                          <w:tab w:val="num" w:pos="1440"/>
                        </w:tabs>
                        <w:overflowPunct/>
                        <w:autoSpaceDE/>
                        <w:autoSpaceDN/>
                        <w:adjustRightInd/>
                        <w:spacing w:after="0" w:line="259" w:lineRule="auto"/>
                        <w:ind w:left="1800"/>
                        <w:contextualSpacing/>
                        <w:textAlignment w:val="auto"/>
                        <w:rPr>
                          <w:color w:val="181818"/>
                          <w:lang w:eastAsia="en-US"/>
                        </w:rPr>
                      </w:pPr>
                      <w:r w:rsidRPr="00FC1E85">
                        <w:rPr>
                          <w:rFonts w:eastAsia="Batang"/>
                          <w:color w:val="181818"/>
                          <w:spacing w:val="-6"/>
                          <w:kern w:val="20"/>
                          <w:lang w:eastAsia="en-US"/>
                        </w:rPr>
                        <w:t>potential enhancements for CORESET, if needed</w:t>
                      </w:r>
                    </w:p>
                    <w:p w14:paraId="0547DD48" w14:textId="77777777" w:rsidR="00BE31F7" w:rsidRPr="00B77ED2" w:rsidRDefault="00BE31F7" w:rsidP="009F48EE">
                      <w:pPr>
                        <w:numPr>
                          <w:ilvl w:val="1"/>
                          <w:numId w:val="36"/>
                        </w:numPr>
                        <w:tabs>
                          <w:tab w:val="num" w:pos="1440"/>
                        </w:tabs>
                        <w:overflowPunct/>
                        <w:autoSpaceDE/>
                        <w:autoSpaceDN/>
                        <w:adjustRightInd/>
                        <w:spacing w:after="0" w:line="259" w:lineRule="auto"/>
                        <w:ind w:left="1800"/>
                        <w:contextualSpacing/>
                        <w:textAlignment w:val="auto"/>
                        <w:rPr>
                          <w:color w:val="181818"/>
                          <w:lang w:eastAsia="en-US"/>
                        </w:rPr>
                      </w:pPr>
                      <w:r w:rsidRPr="00B77ED2">
                        <w:rPr>
                          <w:rFonts w:eastAsia="Batang"/>
                          <w:color w:val="181818"/>
                          <w:spacing w:val="-6"/>
                          <w:kern w:val="20"/>
                          <w:lang w:eastAsia="en-US"/>
                        </w:rPr>
                        <w:t>related UE capability(</w:t>
                      </w:r>
                      <w:proofErr w:type="spellStart"/>
                      <w:r w:rsidRPr="00B77ED2">
                        <w:rPr>
                          <w:rFonts w:eastAsia="Batang"/>
                          <w:color w:val="181818"/>
                          <w:spacing w:val="-6"/>
                          <w:kern w:val="20"/>
                          <w:lang w:eastAsia="en-US"/>
                        </w:rPr>
                        <w:t>ies</w:t>
                      </w:r>
                      <w:proofErr w:type="spellEnd"/>
                      <w:r w:rsidRPr="00B77ED2">
                        <w:rPr>
                          <w:rFonts w:eastAsia="Batang"/>
                          <w:color w:val="181818"/>
                          <w:spacing w:val="-6"/>
                          <w:kern w:val="20"/>
                          <w:lang w:eastAsia="en-US"/>
                        </w:rPr>
                        <w:t>) for PDCCH processing</w:t>
                      </w:r>
                    </w:p>
                  </w:txbxContent>
                </v:textbox>
                <w10:anchorlock/>
              </v:shape>
            </w:pict>
          </mc:Fallback>
        </mc:AlternateContent>
      </w:r>
    </w:p>
    <w:p w14:paraId="702E1A7B" w14:textId="08E12C2D" w:rsidR="008A2C71" w:rsidRDefault="008A2C71" w:rsidP="008A2C71">
      <w:pPr>
        <w:pStyle w:val="BodyText"/>
      </w:pPr>
      <w:r>
        <w:t xml:space="preserve">With short OFDM symbol durations associated with large SCSs, the amount of time for UE and </w:t>
      </w:r>
      <w:proofErr w:type="spellStart"/>
      <w:r>
        <w:t>gNB</w:t>
      </w:r>
      <w:proofErr w:type="spellEnd"/>
      <w:r>
        <w:t xml:space="preserve"> to perform several critical operations can become quite challenging. Consider first the UE PDSCH processing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t xml:space="preserve">, specified in Section 5.3 of </w:t>
      </w:r>
      <w:r>
        <w:fldChar w:fldCharType="begin"/>
      </w:r>
      <w:r>
        <w:instrText xml:space="preserve"> REF _Ref39586750 \r \h </w:instrText>
      </w:r>
      <w:r>
        <w:fldChar w:fldCharType="separate"/>
      </w:r>
      <w:r w:rsidR="00BE31F7">
        <w:t>[12]</w:t>
      </w:r>
      <w:r>
        <w:fldChar w:fldCharType="end"/>
      </w:r>
      <w:r>
        <w:t>. For 120 kHz SCS for FR2 operations, only UE PDSCH processing capability 1 is applicable. The allowed processing times in terms of OFDM symbols are specified by the following table:</w:t>
      </w:r>
    </w:p>
    <w:p w14:paraId="33BADA71" w14:textId="77777777" w:rsidR="008A2C71" w:rsidRPr="0048482F" w:rsidRDefault="008A2C71" w:rsidP="008A2C71">
      <w:pPr>
        <w:pStyle w:val="TH"/>
        <w:rPr>
          <w:i/>
          <w:color w:val="000000"/>
        </w:rPr>
      </w:pPr>
      <w:r w:rsidRPr="0048482F">
        <w:rPr>
          <w:color w:val="000000"/>
        </w:rPr>
        <w:t>Table 5.3-1: PDSCH processing time for PDSCH processing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8A2C71" w:rsidRPr="0048482F" w14:paraId="2A41707D" w14:textId="77777777" w:rsidTr="00AC1B06">
        <w:trPr>
          <w:jc w:val="center"/>
        </w:trPr>
        <w:tc>
          <w:tcPr>
            <w:tcW w:w="828" w:type="dxa"/>
            <w:vMerge w:val="restart"/>
            <w:shd w:val="clear" w:color="auto" w:fill="auto"/>
            <w:vAlign w:val="center"/>
          </w:tcPr>
          <w:p w14:paraId="225B0156" w14:textId="77777777" w:rsidR="008A2C71" w:rsidRPr="00E17FE7" w:rsidRDefault="008A2C71" w:rsidP="00AC1B06">
            <w:pPr>
              <w:pStyle w:val="TAH"/>
              <w:rPr>
                <w:rFonts w:eastAsia="Batang"/>
                <w:color w:val="000000"/>
                <w:lang w:val="en-GB"/>
              </w:rPr>
            </w:pPr>
            <w:r w:rsidRPr="00E17FE7">
              <w:rPr>
                <w:rFonts w:eastAsia="Batang"/>
                <w:color w:val="000000"/>
                <w:position w:val="-8"/>
                <w:lang w:val="en-GB"/>
              </w:rPr>
              <w:object w:dxaOrig="220" w:dyaOrig="220" w14:anchorId="72D146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ole="">
                  <v:imagedata r:id="rId51" o:title=""/>
                </v:shape>
                <o:OLEObject Type="Embed" ProgID="Equation.3" ShapeID="_x0000_i1025" DrawAspect="Content" ObjectID="_1664389061" r:id="rId52"/>
              </w:object>
            </w:r>
          </w:p>
        </w:tc>
        <w:tc>
          <w:tcPr>
            <w:tcW w:w="7547" w:type="dxa"/>
            <w:gridSpan w:val="2"/>
            <w:shd w:val="clear" w:color="auto" w:fill="auto"/>
          </w:tcPr>
          <w:p w14:paraId="184F0361" w14:textId="77777777" w:rsidR="008A2C71" w:rsidRPr="00E17FE7" w:rsidRDefault="008A2C71" w:rsidP="00AC1B06">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A2C71" w:rsidRPr="0048482F" w14:paraId="6C17357E" w14:textId="77777777" w:rsidTr="00AC1B06">
        <w:trPr>
          <w:jc w:val="center"/>
        </w:trPr>
        <w:tc>
          <w:tcPr>
            <w:tcW w:w="828" w:type="dxa"/>
            <w:vMerge/>
            <w:shd w:val="clear" w:color="auto" w:fill="auto"/>
          </w:tcPr>
          <w:p w14:paraId="2B85337E" w14:textId="77777777" w:rsidR="008A2C71" w:rsidRPr="00E17FE7" w:rsidRDefault="008A2C71" w:rsidP="00AC1B06">
            <w:pPr>
              <w:pStyle w:val="TAH"/>
              <w:rPr>
                <w:rFonts w:eastAsia="Batang"/>
                <w:color w:val="000000"/>
                <w:lang w:val="en-GB"/>
              </w:rPr>
            </w:pPr>
          </w:p>
        </w:tc>
        <w:tc>
          <w:tcPr>
            <w:tcW w:w="3773" w:type="dxa"/>
            <w:shd w:val="clear" w:color="auto" w:fill="auto"/>
          </w:tcPr>
          <w:p w14:paraId="30153893" w14:textId="77777777" w:rsidR="008A2C71" w:rsidRPr="00E17FE7" w:rsidRDefault="008A2C71" w:rsidP="00AC1B06">
            <w:pPr>
              <w:pStyle w:val="TAH"/>
              <w:rPr>
                <w:rFonts w:eastAsia="Batang"/>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both of </w:t>
            </w:r>
            <w:r>
              <w:rPr>
                <w:rFonts w:eastAsia="Batang"/>
                <w:color w:val="000000"/>
                <w:lang w:val="en-GB"/>
              </w:rPr>
              <w:br/>
            </w:r>
            <w:proofErr w:type="spellStart"/>
            <w:r w:rsidRPr="007B1689">
              <w:rPr>
                <w:i/>
              </w:rPr>
              <w:t>dmrs-DownlinkForPDSCH-MappingTypeA</w:t>
            </w:r>
            <w:proofErr w:type="spellEnd"/>
            <w:r w:rsidRPr="007B1689">
              <w:rPr>
                <w:lang w:val="en-US"/>
              </w:rPr>
              <w:t xml:space="preserve">, </w:t>
            </w:r>
            <w:proofErr w:type="spellStart"/>
            <w:r w:rsidRPr="007B1689">
              <w:rPr>
                <w:i/>
              </w:rPr>
              <w:t>dmrs-DownlinkForPDSCH-MappingTypeB</w:t>
            </w:r>
            <w:proofErr w:type="spellEnd"/>
          </w:p>
        </w:tc>
        <w:tc>
          <w:tcPr>
            <w:tcW w:w="3774" w:type="dxa"/>
          </w:tcPr>
          <w:p w14:paraId="3928240A" w14:textId="77777777" w:rsidR="008A2C71" w:rsidRDefault="008A2C71" w:rsidP="00AC1B06">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s="Arial"/>
                <w:color w:val="000000"/>
                <w:lang w:val="en-GB"/>
              </w:rPr>
              <w:t>≠</w:t>
            </w:r>
            <w:r>
              <w:rPr>
                <w:rFonts w:eastAsia="Batang"/>
                <w:color w:val="000000"/>
                <w:lang w:val="en-GB"/>
              </w:rPr>
              <w:t xml:space="preserve"> pos0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either of </w:t>
            </w:r>
            <w:r>
              <w:rPr>
                <w:rFonts w:eastAsia="Batang"/>
                <w:color w:val="000000"/>
                <w:lang w:val="en-GB"/>
              </w:rPr>
              <w:br/>
            </w:r>
            <w:proofErr w:type="spellStart"/>
            <w:r w:rsidRPr="007B1689">
              <w:rPr>
                <w:i/>
              </w:rPr>
              <w:t>dmrs-</w:t>
            </w:r>
            <w:r w:rsidRPr="00144B95">
              <w:rPr>
                <w:i/>
              </w:rPr>
              <w:t>DownlinkForPDSCH-MappingTypeA</w:t>
            </w:r>
            <w:proofErr w:type="spellEnd"/>
            <w:r w:rsidRPr="00A93AD6">
              <w:rPr>
                <w:lang w:val="en-US"/>
              </w:rPr>
              <w:t xml:space="preserve">, </w:t>
            </w:r>
            <w:proofErr w:type="spellStart"/>
            <w:r w:rsidRPr="00A93AD6">
              <w:rPr>
                <w:i/>
              </w:rPr>
              <w:t>dmrs-DownlinkForPDSCH-MappingTypeB</w:t>
            </w:r>
            <w:proofErr w:type="spellEnd"/>
            <w:r>
              <w:rPr>
                <w:rFonts w:eastAsia="Batang"/>
                <w:i/>
                <w:color w:val="000000"/>
                <w:lang w:val="en-GB"/>
              </w:rPr>
              <w:t xml:space="preserve"> </w:t>
            </w:r>
          </w:p>
          <w:p w14:paraId="53FB55CB" w14:textId="77777777" w:rsidR="008A2C71" w:rsidRPr="00E17FE7" w:rsidRDefault="008A2C71" w:rsidP="00AC1B06">
            <w:pPr>
              <w:pStyle w:val="TAH"/>
              <w:rPr>
                <w:rFonts w:eastAsia="Batang"/>
                <w:color w:val="000000"/>
                <w:lang w:val="en-GB"/>
              </w:rPr>
            </w:pPr>
            <w:r>
              <w:rPr>
                <w:rFonts w:eastAsia="Batang"/>
                <w:i/>
                <w:color w:val="000000"/>
                <w:lang w:val="en-GB"/>
              </w:rPr>
              <w:t xml:space="preserve">or if the higher layer parameter is not configured </w:t>
            </w:r>
          </w:p>
        </w:tc>
      </w:tr>
      <w:tr w:rsidR="008A2C71" w:rsidRPr="0048482F" w14:paraId="72CEFD7A" w14:textId="77777777" w:rsidTr="00AC1B06">
        <w:trPr>
          <w:jc w:val="center"/>
        </w:trPr>
        <w:tc>
          <w:tcPr>
            <w:tcW w:w="828" w:type="dxa"/>
            <w:shd w:val="clear" w:color="auto" w:fill="auto"/>
          </w:tcPr>
          <w:p w14:paraId="516C206D" w14:textId="77777777" w:rsidR="008A2C71" w:rsidRPr="00E17FE7" w:rsidRDefault="008A2C71" w:rsidP="00AC1B06">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3C24E6F7" w14:textId="77777777" w:rsidR="008A2C71" w:rsidRPr="00E17FE7" w:rsidRDefault="008A2C71" w:rsidP="00AC1B06">
            <w:pPr>
              <w:pStyle w:val="TAC"/>
              <w:rPr>
                <w:rFonts w:eastAsia="Batang"/>
                <w:color w:val="000000"/>
                <w:lang w:val="en-GB"/>
              </w:rPr>
            </w:pPr>
            <w:r w:rsidRPr="00E17FE7">
              <w:rPr>
                <w:rFonts w:eastAsia="Batang"/>
                <w:color w:val="000000"/>
                <w:lang w:val="en-GB"/>
              </w:rPr>
              <w:t>8</w:t>
            </w:r>
          </w:p>
        </w:tc>
        <w:tc>
          <w:tcPr>
            <w:tcW w:w="3774" w:type="dxa"/>
          </w:tcPr>
          <w:p w14:paraId="6EBD64C0" w14:textId="77777777" w:rsidR="008A2C71" w:rsidRPr="00E17FE7" w:rsidRDefault="008A2C71" w:rsidP="00AC1B06">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8A2C71" w:rsidRPr="0048482F" w14:paraId="622CB4C6" w14:textId="77777777" w:rsidTr="00AC1B06">
        <w:trPr>
          <w:jc w:val="center"/>
        </w:trPr>
        <w:tc>
          <w:tcPr>
            <w:tcW w:w="828" w:type="dxa"/>
            <w:shd w:val="clear" w:color="auto" w:fill="auto"/>
          </w:tcPr>
          <w:p w14:paraId="09DF2889" w14:textId="77777777" w:rsidR="008A2C71" w:rsidRPr="00E17FE7" w:rsidRDefault="008A2C71" w:rsidP="00AC1B06">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5122C2F2" w14:textId="77777777" w:rsidR="008A2C71" w:rsidRPr="00E17FE7" w:rsidRDefault="008A2C71" w:rsidP="00AC1B06">
            <w:pPr>
              <w:pStyle w:val="TAC"/>
              <w:rPr>
                <w:rFonts w:eastAsia="Batang"/>
                <w:color w:val="000000"/>
                <w:lang w:val="en-GB"/>
              </w:rPr>
            </w:pPr>
            <w:r w:rsidRPr="00E17FE7">
              <w:rPr>
                <w:rFonts w:eastAsia="Batang"/>
                <w:color w:val="000000"/>
                <w:lang w:val="en-GB"/>
              </w:rPr>
              <w:t>10</w:t>
            </w:r>
          </w:p>
        </w:tc>
        <w:tc>
          <w:tcPr>
            <w:tcW w:w="3774" w:type="dxa"/>
          </w:tcPr>
          <w:p w14:paraId="3D9D9A14" w14:textId="77777777" w:rsidR="008A2C71" w:rsidRPr="00E17FE7" w:rsidRDefault="008A2C71" w:rsidP="00AC1B06">
            <w:pPr>
              <w:pStyle w:val="TAC"/>
              <w:rPr>
                <w:rFonts w:eastAsia="Batang"/>
                <w:color w:val="000000"/>
                <w:lang w:val="en-GB"/>
              </w:rPr>
            </w:pPr>
            <w:r w:rsidRPr="00E17FE7">
              <w:rPr>
                <w:rFonts w:eastAsia="Batang"/>
                <w:color w:val="000000"/>
                <w:lang w:val="en-GB"/>
              </w:rPr>
              <w:t>13</w:t>
            </w:r>
          </w:p>
        </w:tc>
      </w:tr>
      <w:tr w:rsidR="008A2C71" w:rsidRPr="0048482F" w14:paraId="0E4348C9" w14:textId="77777777" w:rsidTr="00AC1B06">
        <w:trPr>
          <w:trHeight w:val="47"/>
          <w:jc w:val="center"/>
        </w:trPr>
        <w:tc>
          <w:tcPr>
            <w:tcW w:w="828" w:type="dxa"/>
            <w:shd w:val="clear" w:color="auto" w:fill="auto"/>
          </w:tcPr>
          <w:p w14:paraId="68200304" w14:textId="77777777" w:rsidR="008A2C71" w:rsidRPr="00E17FE7" w:rsidRDefault="008A2C71" w:rsidP="00AC1B06">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F20B0A8" w14:textId="77777777" w:rsidR="008A2C71" w:rsidRPr="00E17FE7" w:rsidRDefault="008A2C71" w:rsidP="00AC1B06">
            <w:pPr>
              <w:pStyle w:val="TAC"/>
              <w:rPr>
                <w:rFonts w:eastAsia="Batang"/>
                <w:color w:val="000000"/>
                <w:lang w:val="en-GB"/>
              </w:rPr>
            </w:pPr>
            <w:r w:rsidRPr="00E17FE7">
              <w:rPr>
                <w:rFonts w:eastAsia="Batang"/>
                <w:color w:val="000000"/>
                <w:lang w:val="en-GB"/>
              </w:rPr>
              <w:t>17</w:t>
            </w:r>
          </w:p>
        </w:tc>
        <w:tc>
          <w:tcPr>
            <w:tcW w:w="3774" w:type="dxa"/>
          </w:tcPr>
          <w:p w14:paraId="1425EEB5" w14:textId="77777777" w:rsidR="008A2C71" w:rsidRPr="00E17FE7" w:rsidRDefault="008A2C71" w:rsidP="00AC1B06">
            <w:pPr>
              <w:pStyle w:val="TAC"/>
              <w:rPr>
                <w:rFonts w:eastAsia="Batang"/>
                <w:color w:val="000000"/>
                <w:lang w:val="en-GB"/>
              </w:rPr>
            </w:pPr>
            <w:r w:rsidRPr="00E17FE7">
              <w:rPr>
                <w:rFonts w:eastAsia="Batang"/>
                <w:color w:val="000000"/>
                <w:lang w:val="en-GB"/>
              </w:rPr>
              <w:t>20</w:t>
            </w:r>
          </w:p>
        </w:tc>
      </w:tr>
      <w:tr w:rsidR="008A2C71" w:rsidRPr="0048482F" w14:paraId="7CD4C8A6" w14:textId="77777777" w:rsidTr="00AC1B06">
        <w:trPr>
          <w:jc w:val="center"/>
        </w:trPr>
        <w:tc>
          <w:tcPr>
            <w:tcW w:w="828" w:type="dxa"/>
            <w:shd w:val="clear" w:color="auto" w:fill="auto"/>
          </w:tcPr>
          <w:p w14:paraId="464BEEE2" w14:textId="77777777" w:rsidR="008A2C71" w:rsidRPr="00E17FE7" w:rsidRDefault="008A2C71" w:rsidP="00AC1B06">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6A181FDA" w14:textId="77777777" w:rsidR="008A2C71" w:rsidRPr="00E17FE7" w:rsidRDefault="008A2C71" w:rsidP="00AC1B06">
            <w:pPr>
              <w:pStyle w:val="TAC"/>
              <w:rPr>
                <w:rFonts w:eastAsia="Batang"/>
                <w:color w:val="000000"/>
                <w:lang w:val="en-GB"/>
              </w:rPr>
            </w:pPr>
            <w:r w:rsidRPr="00E17FE7">
              <w:rPr>
                <w:rFonts w:eastAsia="Batang"/>
                <w:color w:val="000000"/>
                <w:lang w:val="en-GB"/>
              </w:rPr>
              <w:t>20</w:t>
            </w:r>
          </w:p>
        </w:tc>
        <w:tc>
          <w:tcPr>
            <w:tcW w:w="3774" w:type="dxa"/>
          </w:tcPr>
          <w:p w14:paraId="3A8AE089" w14:textId="77777777" w:rsidR="008A2C71" w:rsidRPr="00E17FE7" w:rsidRDefault="008A2C71" w:rsidP="00AC1B06">
            <w:pPr>
              <w:pStyle w:val="TAC"/>
              <w:rPr>
                <w:rFonts w:eastAsia="Batang"/>
                <w:color w:val="000000"/>
                <w:lang w:val="en-GB"/>
              </w:rPr>
            </w:pPr>
            <w:r w:rsidRPr="00E17FE7">
              <w:rPr>
                <w:rFonts w:eastAsia="Batang"/>
                <w:color w:val="000000"/>
                <w:lang w:val="en-GB"/>
              </w:rPr>
              <w:t>24</w:t>
            </w:r>
          </w:p>
        </w:tc>
      </w:tr>
    </w:tbl>
    <w:p w14:paraId="0A228331" w14:textId="77777777" w:rsidR="008A2C71" w:rsidRDefault="008A2C71" w:rsidP="008A2C71">
      <w:pPr>
        <w:pStyle w:val="BodyText"/>
      </w:pPr>
    </w:p>
    <w:p w14:paraId="3887EDA7" w14:textId="5EF68190" w:rsidR="008A2C71" w:rsidRDefault="008A2C71" w:rsidP="008A2C71">
      <w:pPr>
        <w:pStyle w:val="BodyText"/>
      </w:pPr>
      <w:r>
        <w:t xml:space="preserve">It can be observed that the amount of processing time provisioned for decoding a PDSCH </w:t>
      </w:r>
      <w:r w:rsidRPr="00085F74">
        <w:rPr>
          <w:u w:val="single"/>
        </w:rPr>
        <w:t xml:space="preserve">grows </w:t>
      </w:r>
      <w:r w:rsidRPr="00815D36">
        <w:rPr>
          <w:u w:val="single"/>
        </w:rPr>
        <w:t>exponentially</w:t>
      </w:r>
      <w:r>
        <w:t xml:space="preserve"> with the numerology</w:t>
      </w:r>
      <w:r w:rsidR="000E6332">
        <w:t xml:space="preserve"> (see exponential fitting discussed below)</w:t>
      </w:r>
      <w:r>
        <w:t xml:space="preserve">. </w:t>
      </w:r>
      <w:r w:rsidR="00AE419C">
        <w:t xml:space="preserve">The </w:t>
      </w:r>
      <w:r w:rsidR="00390FDD">
        <w:t>HARQ-ACK multiplexing</w:t>
      </w:r>
      <w:r w:rsidR="00676FB5">
        <w:t xml:space="preserve"> </w:t>
      </w:r>
      <w:r w:rsidR="00FE553A">
        <w:t>time</w:t>
      </w:r>
      <w:r w:rsidR="00676FB5">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oMath>
      <w:r w:rsidR="00676FB5">
        <w:t>,</w:t>
      </w:r>
      <w:r w:rsidR="00FE553A">
        <w:t xml:space="preserve"> </w:t>
      </w:r>
      <w:r w:rsidR="009E34AE">
        <w:t xml:space="preserve">follows the same </w:t>
      </w:r>
      <w:r w:rsidR="00242225">
        <w:t xml:space="preserve">time </w:t>
      </w:r>
      <w:r w:rsidR="00686B05">
        <w:t xml:space="preserve">scaling pattern as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242225">
        <w:t xml:space="preserve">. </w:t>
      </w:r>
      <w:r>
        <w:t xml:space="preserve">Consider next the UE PUSCH processing time,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specified in Section 6.4 of </w:t>
      </w:r>
      <w:r>
        <w:fldChar w:fldCharType="begin"/>
      </w:r>
      <w:r>
        <w:instrText xml:space="preserve"> REF _Ref39586750 \r \h </w:instrText>
      </w:r>
      <w:r>
        <w:fldChar w:fldCharType="separate"/>
      </w:r>
      <w:r w:rsidR="00BE31F7">
        <w:t>[12]</w:t>
      </w:r>
      <w:r>
        <w:fldChar w:fldCharType="end"/>
      </w:r>
      <w:r>
        <w:t xml:space="preserve"> and the following table. The trend of exponentially growing processing times for PUSCH is stronger still than those for PDSCH. </w:t>
      </w:r>
    </w:p>
    <w:p w14:paraId="6DA702BC" w14:textId="77777777" w:rsidR="008A2C71" w:rsidRPr="0048482F" w:rsidRDefault="008A2C71" w:rsidP="008A2C7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CB1CE0" w:rsidRPr="0048482F" w14:paraId="2E548A3C" w14:textId="77777777" w:rsidTr="00F91B38">
        <w:trPr>
          <w:jc w:val="center"/>
        </w:trPr>
        <w:tc>
          <w:tcPr>
            <w:tcW w:w="828" w:type="dxa"/>
            <w:shd w:val="clear" w:color="auto" w:fill="auto"/>
            <w:vAlign w:val="center"/>
          </w:tcPr>
          <w:p w14:paraId="3B20CE86" w14:textId="77777777" w:rsidR="00CB1CE0" w:rsidRPr="00E17FE7" w:rsidRDefault="00CB1CE0" w:rsidP="00F91B38">
            <w:pPr>
              <w:pStyle w:val="TAC"/>
              <w:rPr>
                <w:rFonts w:eastAsia="Batang"/>
                <w:color w:val="000000"/>
                <w:lang w:val="en-GB"/>
              </w:rPr>
            </w:pPr>
            <w:r w:rsidRPr="00E17FE7">
              <w:rPr>
                <w:rFonts w:eastAsia="Batang"/>
                <w:color w:val="000000"/>
                <w:position w:val="-8"/>
                <w:lang w:val="en-GB"/>
              </w:rPr>
              <w:object w:dxaOrig="220" w:dyaOrig="220" w14:anchorId="2B6C1D26">
                <v:shape id="_x0000_i1026" type="#_x0000_t75" style="width:11.25pt;height:11.25pt" o:ole="">
                  <v:imagedata r:id="rId53" o:title=""/>
                </v:shape>
                <o:OLEObject Type="Embed" ProgID="Equation.3" ShapeID="_x0000_i1026" DrawAspect="Content" ObjectID="_1664389062" r:id="rId54"/>
              </w:object>
            </w:r>
          </w:p>
        </w:tc>
        <w:tc>
          <w:tcPr>
            <w:tcW w:w="4165" w:type="dxa"/>
            <w:shd w:val="clear" w:color="auto" w:fill="auto"/>
          </w:tcPr>
          <w:p w14:paraId="749FB7A1" w14:textId="77777777" w:rsidR="00CB1CE0" w:rsidRPr="00E17FE7" w:rsidRDefault="00CB1CE0" w:rsidP="00F91B3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CB1CE0" w:rsidRPr="0048482F" w14:paraId="527162BE" w14:textId="77777777" w:rsidTr="00F91B38">
        <w:trPr>
          <w:jc w:val="center"/>
        </w:trPr>
        <w:tc>
          <w:tcPr>
            <w:tcW w:w="828" w:type="dxa"/>
            <w:shd w:val="clear" w:color="auto" w:fill="auto"/>
          </w:tcPr>
          <w:p w14:paraId="7C47E541" w14:textId="77777777" w:rsidR="00CB1CE0" w:rsidRPr="00E17FE7" w:rsidRDefault="00CB1CE0" w:rsidP="00F91B3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6D32D710" w14:textId="77777777" w:rsidR="00CB1CE0" w:rsidRPr="00E17FE7" w:rsidRDefault="00CB1CE0" w:rsidP="00F91B38">
            <w:pPr>
              <w:pStyle w:val="TAC"/>
              <w:rPr>
                <w:rFonts w:eastAsia="Batang"/>
                <w:color w:val="000000"/>
                <w:lang w:val="en-GB"/>
              </w:rPr>
            </w:pPr>
            <w:r w:rsidRPr="00E17FE7">
              <w:rPr>
                <w:rFonts w:eastAsia="Batang"/>
                <w:color w:val="000000"/>
                <w:lang w:val="en-GB"/>
              </w:rPr>
              <w:t>10</w:t>
            </w:r>
          </w:p>
        </w:tc>
      </w:tr>
      <w:tr w:rsidR="00CB1CE0" w:rsidRPr="0048482F" w14:paraId="5F53B8A6" w14:textId="77777777" w:rsidTr="00F91B38">
        <w:trPr>
          <w:jc w:val="center"/>
        </w:trPr>
        <w:tc>
          <w:tcPr>
            <w:tcW w:w="828" w:type="dxa"/>
            <w:shd w:val="clear" w:color="auto" w:fill="auto"/>
          </w:tcPr>
          <w:p w14:paraId="62E5FC72" w14:textId="77777777" w:rsidR="00CB1CE0" w:rsidRPr="00E17FE7" w:rsidRDefault="00CB1CE0" w:rsidP="00F91B3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2C12910F" w14:textId="77777777" w:rsidR="00CB1CE0" w:rsidRPr="00E17FE7" w:rsidRDefault="00CB1CE0" w:rsidP="00F91B38">
            <w:pPr>
              <w:pStyle w:val="TAC"/>
              <w:rPr>
                <w:rFonts w:eastAsia="Batang"/>
                <w:color w:val="000000"/>
                <w:lang w:val="en-GB"/>
              </w:rPr>
            </w:pPr>
            <w:r w:rsidRPr="00E17FE7">
              <w:rPr>
                <w:rFonts w:eastAsia="Batang"/>
                <w:color w:val="000000"/>
                <w:lang w:val="en-GB"/>
              </w:rPr>
              <w:t>12</w:t>
            </w:r>
          </w:p>
        </w:tc>
      </w:tr>
      <w:tr w:rsidR="00CB1CE0" w:rsidRPr="0048482F" w14:paraId="3476E625" w14:textId="77777777" w:rsidTr="00F91B38">
        <w:trPr>
          <w:trHeight w:val="47"/>
          <w:jc w:val="center"/>
        </w:trPr>
        <w:tc>
          <w:tcPr>
            <w:tcW w:w="828" w:type="dxa"/>
            <w:shd w:val="clear" w:color="auto" w:fill="auto"/>
          </w:tcPr>
          <w:p w14:paraId="29DFAE18" w14:textId="77777777" w:rsidR="00CB1CE0" w:rsidRPr="00E17FE7" w:rsidRDefault="00CB1CE0" w:rsidP="00F91B3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052696E1" w14:textId="77777777" w:rsidR="00CB1CE0" w:rsidRPr="00E17FE7" w:rsidRDefault="00CB1CE0" w:rsidP="00F91B38">
            <w:pPr>
              <w:pStyle w:val="TAC"/>
              <w:rPr>
                <w:rFonts w:eastAsia="Batang"/>
                <w:color w:val="000000"/>
                <w:lang w:val="en-GB"/>
              </w:rPr>
            </w:pPr>
            <w:r w:rsidRPr="00E17FE7">
              <w:rPr>
                <w:rFonts w:eastAsia="Batang"/>
                <w:color w:val="000000"/>
                <w:lang w:val="en-GB"/>
              </w:rPr>
              <w:t>23</w:t>
            </w:r>
          </w:p>
        </w:tc>
      </w:tr>
      <w:tr w:rsidR="00CB1CE0" w:rsidRPr="0048482F" w14:paraId="07CEE95D" w14:textId="77777777" w:rsidTr="00F91B38">
        <w:trPr>
          <w:jc w:val="center"/>
        </w:trPr>
        <w:tc>
          <w:tcPr>
            <w:tcW w:w="828" w:type="dxa"/>
            <w:shd w:val="clear" w:color="auto" w:fill="auto"/>
          </w:tcPr>
          <w:p w14:paraId="5067D9F4" w14:textId="77777777" w:rsidR="00CB1CE0" w:rsidRPr="00E17FE7" w:rsidRDefault="00CB1CE0" w:rsidP="00F91B3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3B214E8A" w14:textId="77777777" w:rsidR="00CB1CE0" w:rsidRPr="00E17FE7" w:rsidRDefault="00CB1CE0" w:rsidP="00F91B38">
            <w:pPr>
              <w:pStyle w:val="TAC"/>
              <w:rPr>
                <w:rFonts w:eastAsia="Batang"/>
                <w:color w:val="000000"/>
                <w:lang w:val="en-GB"/>
              </w:rPr>
            </w:pPr>
            <w:r w:rsidRPr="00E17FE7">
              <w:rPr>
                <w:rFonts w:eastAsia="Batang"/>
                <w:color w:val="000000"/>
                <w:lang w:val="en-GB"/>
              </w:rPr>
              <w:t>36</w:t>
            </w:r>
          </w:p>
        </w:tc>
      </w:tr>
    </w:tbl>
    <w:p w14:paraId="54026A2C" w14:textId="77777777" w:rsidR="00877FE6" w:rsidRPr="00877FE6" w:rsidRDefault="00877FE6" w:rsidP="00877FE6">
      <w:pPr>
        <w:pStyle w:val="BodyText"/>
      </w:pPr>
    </w:p>
    <w:p w14:paraId="7A479319" w14:textId="61D004E3" w:rsidR="00877FE6" w:rsidRPr="00877FE6" w:rsidRDefault="00431504" w:rsidP="00877FE6">
      <w:pPr>
        <w:pStyle w:val="BodyText"/>
      </w:pPr>
      <w:r>
        <w:t xml:space="preserve">For the system level simulations, it was agreed that </w:t>
      </w:r>
      <w:r w:rsidR="00726932">
        <w:t>“</w:t>
      </w:r>
      <w:r w:rsidR="00726932" w:rsidRPr="00726932">
        <w:t>UE processing timeline in microseconds are assumed to be same as 120 kHz SCS PDSCH/PUSCH processing latency</w:t>
      </w:r>
      <w:r w:rsidR="000E5503">
        <w:t>.”</w:t>
      </w:r>
      <w:r w:rsidR="00C21E1F" w:rsidRPr="00C21E1F">
        <w:t xml:space="preserve"> </w:t>
      </w:r>
      <w:r w:rsidR="00C21E1F">
        <w:t xml:space="preserve">Using the front loaded DMRS case as an </w:t>
      </w:r>
      <w:r w:rsidR="00C21E1F">
        <w:lastRenderedPageBreak/>
        <w:t xml:space="preserve">example, </w:t>
      </w:r>
      <w:r w:rsidR="00AC5432">
        <w:t>the latency of 20 OS</w:t>
      </w:r>
      <w:r w:rsidR="00420E81">
        <w:t>s</w:t>
      </w:r>
      <w:r w:rsidR="00AC5432">
        <w:t xml:space="preserve"> in </w:t>
      </w:r>
      <w:r w:rsidR="005444BC">
        <w:t>12</w:t>
      </w:r>
      <w:r w:rsidR="00B03FFE">
        <w:t xml:space="preserve">0 kHz SCS numerology translates into </w:t>
      </w:r>
      <w:r w:rsidR="00420E81">
        <w:t>40, 80, 160 and 320 O</w:t>
      </w:r>
      <w:r w:rsidR="001F4866">
        <w:t>S</w:t>
      </w:r>
      <w:r w:rsidR="00420E81">
        <w:t xml:space="preserve">s in 240, 480, </w:t>
      </w:r>
      <w:r w:rsidR="00A304F4">
        <w:t xml:space="preserve">and </w:t>
      </w:r>
      <w:r w:rsidR="00420E81">
        <w:t>960 kHz SCS numerologies.</w:t>
      </w:r>
      <w:r w:rsidR="0037347A">
        <w:t xml:space="preserve"> </w:t>
      </w:r>
      <w:r w:rsidR="00823E8E">
        <w:t>T</w:t>
      </w:r>
      <w:r w:rsidR="00CF4A96">
        <w:t xml:space="preserve">hat is, </w:t>
      </w:r>
      <w:r w:rsidR="006E11DC" w:rsidRPr="00F94015">
        <w:t xml:space="preserve">take 960 kHz SCS </w:t>
      </w:r>
      <w:r w:rsidR="00B63D87" w:rsidRPr="00F94015">
        <w:t>used in the system level simulations</w:t>
      </w:r>
      <w:r w:rsidR="006E11DC" w:rsidRPr="00F94015">
        <w:t xml:space="preserve"> as an example, </w:t>
      </w:r>
      <w:r w:rsidR="00E218A3" w:rsidRPr="00F94015">
        <w:t>the simulation assumptions all</w:t>
      </w:r>
      <w:r w:rsidR="00DB398B" w:rsidRPr="00F94015">
        <w:t>ow</w:t>
      </w:r>
      <w:r w:rsidR="00CF4A96" w:rsidRPr="00F94015">
        <w:t xml:space="preserve"> more than 10 slots before the UE can send back </w:t>
      </w:r>
      <w:r w:rsidR="00873E75" w:rsidRPr="00F94015">
        <w:t xml:space="preserve">the </w:t>
      </w:r>
      <w:r w:rsidR="00CF4A96" w:rsidRPr="00F94015">
        <w:t>HARQ</w:t>
      </w:r>
      <w:r w:rsidR="00873E75" w:rsidRPr="00F94015">
        <w:t>-ACK result</w:t>
      </w:r>
      <w:r w:rsidR="006E11DC" w:rsidRPr="00F94015">
        <w:t>.</w:t>
      </w:r>
      <w:r w:rsidR="00620D56" w:rsidRPr="00F94015">
        <w:t xml:space="preserve"> Worse yet, </w:t>
      </w:r>
      <w:r w:rsidR="00AD68B7" w:rsidRPr="00F94015">
        <w:t xml:space="preserve">it </w:t>
      </w:r>
      <w:r w:rsidR="008A592C" w:rsidRPr="00F94015">
        <w:t>allows</w:t>
      </w:r>
      <w:r w:rsidR="00600AEA" w:rsidRPr="00F94015">
        <w:t xml:space="preserve"> </w:t>
      </w:r>
      <w:r w:rsidR="00C97750" w:rsidRPr="00F94015">
        <w:t xml:space="preserve">more than 20 slots for the UE to </w:t>
      </w:r>
      <w:r w:rsidR="00E25FDC" w:rsidRPr="00F94015">
        <w:t xml:space="preserve">prepare </w:t>
      </w:r>
      <w:r w:rsidR="00C94BEA" w:rsidRPr="00F94015">
        <w:t>a</w:t>
      </w:r>
      <w:r w:rsidR="00B3412E" w:rsidRPr="00F94015">
        <w:t xml:space="preserve"> scheduled PUSCH.</w:t>
      </w:r>
      <w:r w:rsidR="00CF3168">
        <w:t xml:space="preserve"> With these values, </w:t>
      </w:r>
      <w:r w:rsidR="00345569">
        <w:t xml:space="preserve">the grant delay (grant transmission + processing + PUSCH preparation) induce more than 50% </w:t>
      </w:r>
      <w:r w:rsidR="000258B9">
        <w:t xml:space="preserve">protocol latency </w:t>
      </w:r>
      <w:r w:rsidR="00345569">
        <w:t>overhead</w:t>
      </w:r>
      <w:r w:rsidR="00D20BC5">
        <w:t xml:space="preserve"> for scheduled UL transmissions</w:t>
      </w:r>
      <w:r w:rsidR="007C4DD7">
        <w:t xml:space="preserve"> </w:t>
      </w:r>
      <w:r w:rsidR="007C4DD7">
        <w:fldChar w:fldCharType="begin"/>
      </w:r>
      <w:r w:rsidR="007C4DD7">
        <w:instrText xml:space="preserve"> REF _Ref46490548 \r \h </w:instrText>
      </w:r>
      <w:r w:rsidR="007C4DD7">
        <w:fldChar w:fldCharType="separate"/>
      </w:r>
      <w:r w:rsidR="00BE31F7">
        <w:t>[4]</w:t>
      </w:r>
      <w:r w:rsidR="007C4DD7">
        <w:fldChar w:fldCharType="end"/>
      </w:r>
      <w:r w:rsidR="00345569">
        <w:t xml:space="preserve">. </w:t>
      </w:r>
      <w:r w:rsidR="00DC6FC4">
        <w:t>Such large L1 latencies are clearly not compatible with designing high performance NR operation in the 52.6 to 71 GHz range</w:t>
      </w:r>
      <w:r w:rsidR="006E60BD">
        <w:t xml:space="preserve"> for a wide range of important use cases</w:t>
      </w:r>
      <w:r w:rsidR="00D65571">
        <w:t xml:space="preserve"> including, e.g., fa</w:t>
      </w:r>
      <w:r w:rsidR="009C27A5">
        <w:t>ctory automation and industrial IoT applications.</w:t>
      </w:r>
    </w:p>
    <w:p w14:paraId="3494A81B" w14:textId="77777777" w:rsidR="0011497A" w:rsidRDefault="0011497A" w:rsidP="00877FE6">
      <w:pPr>
        <w:pStyle w:val="BodyText"/>
      </w:pPr>
    </w:p>
    <w:p w14:paraId="647378BB" w14:textId="77777777" w:rsidR="0011497A" w:rsidRDefault="0011497A" w:rsidP="0011497A">
      <w:pPr>
        <w:pStyle w:val="Proposal"/>
      </w:pPr>
      <w:bookmarkStart w:id="174" w:name="_Toc53776201"/>
      <w:r w:rsidRPr="00726932">
        <w:t>UE processing timeline</w:t>
      </w:r>
      <w:r>
        <w:t>s</w:t>
      </w:r>
      <w:r w:rsidRPr="00726932">
        <w:t xml:space="preserve"> </w:t>
      </w:r>
      <w:r>
        <w:t>for SCS &gt; 120 kHz need to be further tightened vis-à-vis those for 120 kHz SCS to enable high performance NR operation in 52.6 to 71 GHz.</w:t>
      </w:r>
      <w:bookmarkEnd w:id="174"/>
      <w:r>
        <w:t xml:space="preserve"> </w:t>
      </w:r>
    </w:p>
    <w:p w14:paraId="189BCAFE" w14:textId="77777777" w:rsidR="00B80F4D" w:rsidRDefault="00B80F4D" w:rsidP="00296180">
      <w:pPr>
        <w:pStyle w:val="BodyText"/>
      </w:pPr>
    </w:p>
    <w:p w14:paraId="3FB86CCD" w14:textId="5F502A0B" w:rsidR="006723FC" w:rsidRDefault="006C509C" w:rsidP="00296180">
      <w:pPr>
        <w:pStyle w:val="BodyText"/>
      </w:pPr>
      <w:r>
        <w:t>As</w:t>
      </w:r>
      <w:r w:rsidR="00325B31">
        <w:t xml:space="preserve"> a first step to start the processing timeline discussion, </w:t>
      </w:r>
      <w:r w:rsidR="00975A09">
        <w:t xml:space="preserve">we </w:t>
      </w:r>
      <w:r w:rsidR="0025757D">
        <w:t xml:space="preserve">fit simple formulae to </w:t>
      </w:r>
      <w:r w:rsidR="002D53BB">
        <w:t xml:space="preserve">the </w:t>
      </w:r>
      <w:r w:rsidR="0025757D">
        <w:t xml:space="preserve">Rel-15 </w:t>
      </w:r>
      <w:r w:rsidR="00325994">
        <w:t>pr</w:t>
      </w:r>
      <w:r w:rsidR="008B11D9">
        <w:t>ocessing time</w:t>
      </w:r>
      <w:r w:rsidR="002D53BB">
        <w:t>s</w:t>
      </w:r>
      <w:r w:rsidR="00A25352">
        <w:t xml:space="preserve"> as the benchmark</w:t>
      </w:r>
      <w:r w:rsidR="004A392E">
        <w:t>s</w:t>
      </w:r>
      <w:r w:rsidR="00A25352">
        <w:t xml:space="preserve"> for </w:t>
      </w:r>
      <w:r w:rsidR="004A06D4">
        <w:t>NR operation in 52.6 to 71 GHz</w:t>
      </w:r>
      <w:r w:rsidR="002D53BB">
        <w:t xml:space="preserve">. Using the front loaded DMRS case as an example, </w:t>
      </w:r>
      <w:r w:rsidR="00C019D7">
        <w:t xml:space="preserve">the PDSCH decoding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00C019D7">
        <w:t xml:space="preserve"> </w:t>
      </w:r>
      <w:r w:rsidR="009E51F2">
        <w:t xml:space="preserve">for numerology </w:t>
      </w:r>
      <m:oMath>
        <m:r>
          <w:rPr>
            <w:rFonts w:ascii="Cambria Math" w:hAnsi="Cambria Math"/>
          </w:rPr>
          <m:t>μ</m:t>
        </m:r>
      </m:oMath>
      <w:r w:rsidR="006960D1">
        <w:t xml:space="preserve"> </w:t>
      </w:r>
      <w:r w:rsidR="00661FC6">
        <w:t xml:space="preserve">in terms of the number of OS in the </w:t>
      </w:r>
      <w:r w:rsidR="00686622">
        <w:t xml:space="preserve">respective </w:t>
      </w:r>
      <w:r w:rsidR="001C432A">
        <w:t xml:space="preserve">numerology </w:t>
      </w:r>
      <w:r w:rsidR="00BE750A">
        <w:t xml:space="preserve">can be approximated by </w:t>
      </w:r>
    </w:p>
    <w:p w14:paraId="3BC9FA52" w14:textId="0AC33606" w:rsidR="006723FC" w:rsidRDefault="00B04ED4" w:rsidP="00296180">
      <w:pPr>
        <w:pStyle w:val="BodyText"/>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1</m:t>
              </m:r>
            </m:sub>
          </m:sSub>
          <m:r>
            <w:rPr>
              <w:rFonts w:ascii="Cambria Math" w:hAnsi="Cambria Math"/>
            </w:rPr>
            <m:t>≅8×</m:t>
          </m:r>
          <m:sSup>
            <m:sSupPr>
              <m:ctrlPr>
                <w:rPr>
                  <w:rFonts w:ascii="Cambria Math" w:hAnsi="Cambria Math"/>
                  <w:i/>
                  <w:iCs/>
                </w:rPr>
              </m:ctrlPr>
            </m:sSupPr>
            <m:e>
              <m:r>
                <w:rPr>
                  <w:rFonts w:ascii="Cambria Math" w:hAnsi="Cambria Math"/>
                </w:rPr>
                <m:t>2</m:t>
              </m:r>
            </m:e>
            <m:sup>
              <m:r>
                <w:rPr>
                  <w:rFonts w:ascii="Cambria Math" w:hAnsi="Cambria Math"/>
                </w:rPr>
                <m:t>0.44μ</m:t>
              </m:r>
            </m:sup>
          </m:sSup>
        </m:oMath>
      </m:oMathPara>
    </w:p>
    <w:p w14:paraId="1454F39C" w14:textId="56E9F330" w:rsidR="00B26F71" w:rsidRDefault="000E6332" w:rsidP="00296180">
      <w:pPr>
        <w:pStyle w:val="BodyText"/>
      </w:pPr>
      <w:r>
        <w:rPr>
          <w:iCs/>
        </w:rPr>
        <w:t xml:space="preserve">which increases exponentially with the numerology as mentioned above. </w:t>
      </w:r>
      <w:r w:rsidR="00CD78FE">
        <w:rPr>
          <w:iCs/>
        </w:rPr>
        <w:t xml:space="preserve">The formula was optimized to minimize </w:t>
      </w:r>
      <w:r w:rsidR="001A170B">
        <w:rPr>
          <w:iCs/>
        </w:rPr>
        <w:t xml:space="preserve">the </w:t>
      </w:r>
      <w:r w:rsidR="00CD78FE">
        <w:rPr>
          <w:iCs/>
        </w:rPr>
        <w:t>mean absolute deviation</w:t>
      </w:r>
      <w:r w:rsidR="001A170B">
        <w:rPr>
          <w:iCs/>
        </w:rPr>
        <w:t xml:space="preserve"> from the Rel-15 values</w:t>
      </w:r>
      <w:r w:rsidR="00CD78FE">
        <w:rPr>
          <w:iCs/>
        </w:rPr>
        <w:t xml:space="preserve">. </w:t>
      </w:r>
      <w:r w:rsidR="00DD3DA5">
        <w:rPr>
          <w:iCs/>
        </w:rPr>
        <w:t xml:space="preserve">As tabulated in </w:t>
      </w:r>
      <w:r w:rsidR="00451313" w:rsidRPr="00465896">
        <w:rPr>
          <w:iCs/>
        </w:rPr>
        <w:fldChar w:fldCharType="begin"/>
      </w:r>
      <w:r w:rsidR="00451313" w:rsidRPr="00465896">
        <w:rPr>
          <w:iCs/>
        </w:rPr>
        <w:instrText xml:space="preserve"> REF _Ref46406873 \h </w:instrText>
      </w:r>
      <w:r w:rsidR="00465896" w:rsidRPr="00465896">
        <w:rPr>
          <w:iCs/>
        </w:rPr>
        <w:instrText xml:space="preserve"> \* MERGEFORMAT </w:instrText>
      </w:r>
      <w:r w:rsidR="00451313" w:rsidRPr="00465896">
        <w:rPr>
          <w:iCs/>
        </w:rPr>
      </w:r>
      <w:r w:rsidR="00451313" w:rsidRPr="00465896">
        <w:rPr>
          <w:iCs/>
        </w:rPr>
        <w:fldChar w:fldCharType="separate"/>
      </w:r>
      <w:r w:rsidR="00BE31F7" w:rsidRPr="00F676BA">
        <w:t xml:space="preserve">Figure </w:t>
      </w:r>
      <w:r w:rsidR="00BE31F7">
        <w:t>34</w:t>
      </w:r>
      <w:r w:rsidR="00451313" w:rsidRPr="00465896">
        <w:rPr>
          <w:iCs/>
        </w:rPr>
        <w:fldChar w:fldCharType="end"/>
      </w:r>
      <w:r w:rsidR="00DD3DA5">
        <w:rPr>
          <w:iCs/>
        </w:rPr>
        <w:t>,</w:t>
      </w:r>
      <w:r w:rsidR="00465896">
        <w:rPr>
          <w:iCs/>
        </w:rPr>
        <w:t xml:space="preserve"> </w:t>
      </w:r>
      <w:r w:rsidR="00E20524">
        <w:rPr>
          <w:iCs/>
        </w:rPr>
        <w:t xml:space="preserve">the benchmark for </w:t>
      </w:r>
      <w:r w:rsidR="008854CC">
        <w:t xml:space="preserve">PDSCH decoding time for </w:t>
      </w:r>
      <w:r w:rsidR="00363E08">
        <w:t>480 kHz SCS should be around 37 O</w:t>
      </w:r>
      <w:r w:rsidR="00D5237E">
        <w:t>S</w:t>
      </w:r>
      <w:r w:rsidR="00363E08">
        <w:t>s</w:t>
      </w:r>
      <w:r>
        <w:t xml:space="preserve"> rather than 80 OSs</w:t>
      </w:r>
      <w:r w:rsidR="00D5237E">
        <w:t>.</w:t>
      </w:r>
      <w:r w:rsidR="00363E08">
        <w:t xml:space="preserve"> </w:t>
      </w:r>
      <w:r w:rsidR="00D5237E">
        <w:t xml:space="preserve">For 960 kHz SCS, the benchmark </w:t>
      </w:r>
      <w:r w:rsidR="00143BA8">
        <w:t xml:space="preserve">should be around 50 </w:t>
      </w:r>
      <w:r w:rsidR="00FE4858">
        <w:t>OSs rather than 160 OSs.</w:t>
      </w:r>
    </w:p>
    <w:p w14:paraId="3F7167CB" w14:textId="3D91D41A" w:rsidR="001800A9" w:rsidRPr="00F676BA" w:rsidRDefault="001800A9" w:rsidP="00E2446B">
      <w:pPr>
        <w:pStyle w:val="TF"/>
        <w:keepLines w:val="0"/>
        <w:jc w:val="both"/>
        <w:rPr>
          <w:lang w:val="en-US"/>
        </w:rPr>
      </w:pPr>
      <w:bookmarkStart w:id="175" w:name="_Ref46406873"/>
      <w:r w:rsidRPr="00F676BA">
        <w:rPr>
          <w:lang w:val="en-US"/>
        </w:rPr>
        <w:t xml:space="preserve">Figure </w:t>
      </w:r>
      <w:r w:rsidRPr="00F676BA">
        <w:rPr>
          <w:lang w:val="en-US"/>
        </w:rPr>
        <w:fldChar w:fldCharType="begin"/>
      </w:r>
      <w:r w:rsidRPr="00F676BA">
        <w:rPr>
          <w:lang w:val="en-US"/>
        </w:rPr>
        <w:instrText xml:space="preserve"> SEQ Figure \* ARABIC </w:instrText>
      </w:r>
      <w:r w:rsidRPr="00F676BA">
        <w:rPr>
          <w:lang w:val="en-US"/>
        </w:rPr>
        <w:fldChar w:fldCharType="separate"/>
      </w:r>
      <w:r w:rsidR="00BE31F7">
        <w:rPr>
          <w:noProof/>
          <w:lang w:val="en-US"/>
        </w:rPr>
        <w:t>34</w:t>
      </w:r>
      <w:r w:rsidRPr="00F676BA">
        <w:rPr>
          <w:lang w:val="en-US"/>
        </w:rPr>
        <w:fldChar w:fldCharType="end"/>
      </w:r>
      <w:bookmarkEnd w:id="175"/>
      <w:r w:rsidRPr="00F676BA">
        <w:rPr>
          <w:lang w:val="en-US"/>
        </w:rPr>
        <w:t>: Extrapolated PDSCH processing time</w:t>
      </w:r>
      <w:r w:rsidR="00D2177B">
        <w:rPr>
          <w:lang w:val="en-US"/>
        </w:rPr>
        <w:t xml:space="preserve">, </w:t>
      </w:r>
      <w:r w:rsidR="008B7BCC">
        <w:rPr>
          <w:lang w:val="en-US"/>
        </w:rPr>
        <w:t xml:space="preserve">HARQ-ACK </w:t>
      </w:r>
      <w:r w:rsidR="006704A6">
        <w:rPr>
          <w:lang w:val="en-US"/>
        </w:rPr>
        <w:t>multiplexing</w:t>
      </w:r>
      <w:r w:rsidR="002F30F1">
        <w:rPr>
          <w:lang w:val="en-US"/>
        </w:rPr>
        <w:t xml:space="preserve"> timeline</w:t>
      </w:r>
      <w:r w:rsidRPr="00F676BA">
        <w:rPr>
          <w:lang w:val="en-US"/>
        </w:rPr>
        <w:t xml:space="preserve"> for front loaded DMRS case</w:t>
      </w:r>
    </w:p>
    <w:tbl>
      <w:tblPr>
        <w:tblStyle w:val="TableGrid"/>
        <w:tblW w:w="8616" w:type="dxa"/>
        <w:tblInd w:w="445" w:type="dxa"/>
        <w:tblLook w:val="04A0" w:firstRow="1" w:lastRow="0" w:firstColumn="1" w:lastColumn="0" w:noHBand="0" w:noVBand="1"/>
      </w:tblPr>
      <w:tblGrid>
        <w:gridCol w:w="1525"/>
        <w:gridCol w:w="1013"/>
        <w:gridCol w:w="1013"/>
        <w:gridCol w:w="1013"/>
        <w:gridCol w:w="1013"/>
        <w:gridCol w:w="1013"/>
        <w:gridCol w:w="1013"/>
        <w:gridCol w:w="1013"/>
      </w:tblGrid>
      <w:tr w:rsidR="00B26F71" w:rsidRPr="00713B6C" w14:paraId="5C725CC6" w14:textId="77777777" w:rsidTr="004F69A1">
        <w:trPr>
          <w:trHeight w:val="52"/>
        </w:trPr>
        <w:tc>
          <w:tcPr>
            <w:tcW w:w="1525" w:type="dxa"/>
            <w:tcBorders>
              <w:bottom w:val="double" w:sz="4" w:space="0" w:color="auto"/>
              <w:right w:val="double" w:sz="4" w:space="0" w:color="auto"/>
            </w:tcBorders>
            <w:vAlign w:val="center"/>
            <w:hideMark/>
          </w:tcPr>
          <w:p w14:paraId="33488BE8" w14:textId="77777777" w:rsidR="00B26F71" w:rsidRPr="00713B6C" w:rsidRDefault="00B26F71" w:rsidP="00B26F71">
            <w:pPr>
              <w:pStyle w:val="BodyText"/>
              <w:spacing w:before="40" w:after="40"/>
              <w:jc w:val="center"/>
              <w:rPr>
                <w:lang w:val="en-US"/>
              </w:rPr>
            </w:pPr>
            <w:r w:rsidRPr="00713B6C">
              <w:rPr>
                <w:lang w:val="en-US"/>
              </w:rPr>
              <w:t>SCS [kHz]</w:t>
            </w:r>
          </w:p>
        </w:tc>
        <w:tc>
          <w:tcPr>
            <w:tcW w:w="1013" w:type="dxa"/>
            <w:tcBorders>
              <w:left w:val="double" w:sz="4" w:space="0" w:color="auto"/>
              <w:bottom w:val="double" w:sz="4" w:space="0" w:color="auto"/>
            </w:tcBorders>
            <w:vAlign w:val="center"/>
            <w:hideMark/>
          </w:tcPr>
          <w:p w14:paraId="012C18A1" w14:textId="77777777" w:rsidR="00B26F71" w:rsidRPr="00713B6C" w:rsidRDefault="00B26F71" w:rsidP="00B26F71">
            <w:pPr>
              <w:pStyle w:val="BodyText"/>
              <w:spacing w:before="40" w:after="40"/>
              <w:jc w:val="center"/>
              <w:rPr>
                <w:lang w:val="en-US"/>
              </w:rPr>
            </w:pPr>
            <w:r w:rsidRPr="00713B6C">
              <w:rPr>
                <w:lang w:val="en-GB"/>
              </w:rPr>
              <w:t>15</w:t>
            </w:r>
          </w:p>
        </w:tc>
        <w:tc>
          <w:tcPr>
            <w:tcW w:w="1013" w:type="dxa"/>
            <w:tcBorders>
              <w:bottom w:val="double" w:sz="4" w:space="0" w:color="auto"/>
            </w:tcBorders>
            <w:vAlign w:val="center"/>
            <w:hideMark/>
          </w:tcPr>
          <w:p w14:paraId="13B987B2" w14:textId="77777777" w:rsidR="00B26F71" w:rsidRPr="00713B6C" w:rsidRDefault="00B26F71" w:rsidP="00B26F71">
            <w:pPr>
              <w:pStyle w:val="BodyText"/>
              <w:spacing w:before="40" w:after="40"/>
              <w:jc w:val="center"/>
              <w:rPr>
                <w:lang w:val="en-US"/>
              </w:rPr>
            </w:pPr>
            <w:r w:rsidRPr="00713B6C">
              <w:rPr>
                <w:lang w:val="en-GB"/>
              </w:rPr>
              <w:t>30</w:t>
            </w:r>
          </w:p>
        </w:tc>
        <w:tc>
          <w:tcPr>
            <w:tcW w:w="1013" w:type="dxa"/>
            <w:tcBorders>
              <w:bottom w:val="double" w:sz="4" w:space="0" w:color="auto"/>
            </w:tcBorders>
            <w:vAlign w:val="center"/>
            <w:hideMark/>
          </w:tcPr>
          <w:p w14:paraId="4F977BC6" w14:textId="77777777" w:rsidR="00B26F71" w:rsidRPr="00713B6C" w:rsidRDefault="00B26F71" w:rsidP="00B26F71">
            <w:pPr>
              <w:pStyle w:val="BodyText"/>
              <w:spacing w:before="40" w:after="40"/>
              <w:jc w:val="center"/>
              <w:rPr>
                <w:lang w:val="en-US"/>
              </w:rPr>
            </w:pPr>
            <w:r w:rsidRPr="00713B6C">
              <w:rPr>
                <w:lang w:val="en-GB"/>
              </w:rPr>
              <w:t>60</w:t>
            </w:r>
          </w:p>
        </w:tc>
        <w:tc>
          <w:tcPr>
            <w:tcW w:w="1013" w:type="dxa"/>
            <w:tcBorders>
              <w:bottom w:val="double" w:sz="4" w:space="0" w:color="auto"/>
            </w:tcBorders>
            <w:vAlign w:val="center"/>
            <w:hideMark/>
          </w:tcPr>
          <w:p w14:paraId="0174448C" w14:textId="77777777" w:rsidR="00B26F71" w:rsidRPr="00713B6C" w:rsidRDefault="00B26F71" w:rsidP="00B26F71">
            <w:pPr>
              <w:pStyle w:val="BodyText"/>
              <w:spacing w:before="40" w:after="40"/>
              <w:jc w:val="center"/>
              <w:rPr>
                <w:lang w:val="en-US"/>
              </w:rPr>
            </w:pPr>
            <w:r w:rsidRPr="00713B6C">
              <w:rPr>
                <w:lang w:val="en-GB"/>
              </w:rPr>
              <w:t>120</w:t>
            </w:r>
          </w:p>
        </w:tc>
        <w:tc>
          <w:tcPr>
            <w:tcW w:w="1013" w:type="dxa"/>
            <w:tcBorders>
              <w:bottom w:val="double" w:sz="4" w:space="0" w:color="auto"/>
            </w:tcBorders>
            <w:vAlign w:val="center"/>
            <w:hideMark/>
          </w:tcPr>
          <w:p w14:paraId="64764FFA" w14:textId="77777777" w:rsidR="00B26F71" w:rsidRPr="00713B6C" w:rsidRDefault="00B26F71" w:rsidP="00B26F71">
            <w:pPr>
              <w:pStyle w:val="BodyText"/>
              <w:spacing w:before="40" w:after="40"/>
              <w:jc w:val="center"/>
              <w:rPr>
                <w:lang w:val="en-US"/>
              </w:rPr>
            </w:pPr>
            <w:r w:rsidRPr="00713B6C">
              <w:rPr>
                <w:lang w:val="en-US"/>
              </w:rPr>
              <w:t>240</w:t>
            </w:r>
          </w:p>
        </w:tc>
        <w:tc>
          <w:tcPr>
            <w:tcW w:w="1013" w:type="dxa"/>
            <w:tcBorders>
              <w:bottom w:val="double" w:sz="4" w:space="0" w:color="auto"/>
            </w:tcBorders>
            <w:vAlign w:val="center"/>
            <w:hideMark/>
          </w:tcPr>
          <w:p w14:paraId="29E70E9A" w14:textId="77777777" w:rsidR="00B26F71" w:rsidRPr="00713B6C" w:rsidRDefault="00B26F71" w:rsidP="00B26F71">
            <w:pPr>
              <w:pStyle w:val="BodyText"/>
              <w:spacing w:before="40" w:after="40"/>
              <w:jc w:val="center"/>
              <w:rPr>
                <w:lang w:val="en-US"/>
              </w:rPr>
            </w:pPr>
            <w:r w:rsidRPr="00713B6C">
              <w:rPr>
                <w:lang w:val="en-US"/>
              </w:rPr>
              <w:t>480</w:t>
            </w:r>
          </w:p>
        </w:tc>
        <w:tc>
          <w:tcPr>
            <w:tcW w:w="1013" w:type="dxa"/>
            <w:tcBorders>
              <w:bottom w:val="double" w:sz="4" w:space="0" w:color="auto"/>
            </w:tcBorders>
            <w:vAlign w:val="center"/>
            <w:hideMark/>
          </w:tcPr>
          <w:p w14:paraId="2027F4A7" w14:textId="77777777" w:rsidR="00B26F71" w:rsidRPr="00713B6C" w:rsidRDefault="00B26F71" w:rsidP="00B26F71">
            <w:pPr>
              <w:pStyle w:val="BodyText"/>
              <w:spacing w:before="40" w:after="40"/>
              <w:jc w:val="center"/>
              <w:rPr>
                <w:lang w:val="en-US"/>
              </w:rPr>
            </w:pPr>
            <w:r w:rsidRPr="00713B6C">
              <w:rPr>
                <w:lang w:val="en-US"/>
              </w:rPr>
              <w:t>960</w:t>
            </w:r>
          </w:p>
        </w:tc>
      </w:tr>
      <w:tr w:rsidR="00B26F71" w:rsidRPr="00713B6C" w14:paraId="29EC3518" w14:textId="77777777" w:rsidTr="004F69A1">
        <w:trPr>
          <w:trHeight w:val="52"/>
        </w:trPr>
        <w:tc>
          <w:tcPr>
            <w:tcW w:w="1525" w:type="dxa"/>
            <w:tcBorders>
              <w:top w:val="double" w:sz="4" w:space="0" w:color="auto"/>
              <w:right w:val="double" w:sz="4" w:space="0" w:color="auto"/>
            </w:tcBorders>
            <w:vAlign w:val="center"/>
            <w:hideMark/>
          </w:tcPr>
          <w:p w14:paraId="2A5E0D92" w14:textId="77777777" w:rsidR="00B26F71" w:rsidRPr="00713B6C" w:rsidRDefault="00B26F71" w:rsidP="00B26F71">
            <w:pPr>
              <w:pStyle w:val="BodyText"/>
              <w:spacing w:before="40" w:after="40"/>
              <w:jc w:val="center"/>
              <w:rPr>
                <w:lang w:val="en-US"/>
              </w:rPr>
            </w:pPr>
            <w:r w:rsidRPr="00713B6C">
              <w:rPr>
                <w:lang w:val="en-US"/>
              </w:rPr>
              <w:t>N</w:t>
            </w:r>
            <w:r w:rsidRPr="00713B6C">
              <w:rPr>
                <w:vertAlign w:val="subscript"/>
                <w:lang w:val="en-US"/>
              </w:rPr>
              <w:t>1</w:t>
            </w:r>
            <w:r w:rsidRPr="00713B6C">
              <w:rPr>
                <w:lang w:val="en-US"/>
              </w:rPr>
              <w:t xml:space="preserve"> [OS]</w:t>
            </w:r>
          </w:p>
        </w:tc>
        <w:tc>
          <w:tcPr>
            <w:tcW w:w="1013" w:type="dxa"/>
            <w:tcBorders>
              <w:top w:val="double" w:sz="4" w:space="0" w:color="auto"/>
              <w:left w:val="double" w:sz="4" w:space="0" w:color="auto"/>
            </w:tcBorders>
            <w:vAlign w:val="center"/>
            <w:hideMark/>
          </w:tcPr>
          <w:p w14:paraId="753B5441" w14:textId="77777777" w:rsidR="00B26F71" w:rsidRPr="00713B6C" w:rsidRDefault="00B26F71" w:rsidP="00B26F71">
            <w:pPr>
              <w:pStyle w:val="BodyText"/>
              <w:spacing w:before="40" w:after="40"/>
              <w:jc w:val="center"/>
              <w:rPr>
                <w:b/>
                <w:bCs/>
                <w:lang w:val="en-US"/>
              </w:rPr>
            </w:pPr>
            <w:r w:rsidRPr="00713B6C">
              <w:rPr>
                <w:b/>
                <w:bCs/>
                <w:lang w:val="en-GB"/>
              </w:rPr>
              <w:t>8</w:t>
            </w:r>
          </w:p>
        </w:tc>
        <w:tc>
          <w:tcPr>
            <w:tcW w:w="1013" w:type="dxa"/>
            <w:tcBorders>
              <w:top w:val="double" w:sz="4" w:space="0" w:color="auto"/>
            </w:tcBorders>
            <w:vAlign w:val="center"/>
            <w:hideMark/>
          </w:tcPr>
          <w:p w14:paraId="001C46FD" w14:textId="77777777" w:rsidR="00B26F71" w:rsidRPr="00713B6C" w:rsidRDefault="00B26F71" w:rsidP="00B26F71">
            <w:pPr>
              <w:pStyle w:val="BodyText"/>
              <w:spacing w:before="40" w:after="40"/>
              <w:jc w:val="center"/>
              <w:rPr>
                <w:b/>
                <w:bCs/>
                <w:lang w:val="en-US"/>
              </w:rPr>
            </w:pPr>
            <w:r w:rsidRPr="00713B6C">
              <w:rPr>
                <w:b/>
                <w:bCs/>
                <w:lang w:val="en-GB"/>
              </w:rPr>
              <w:t>10</w:t>
            </w:r>
          </w:p>
        </w:tc>
        <w:tc>
          <w:tcPr>
            <w:tcW w:w="1013" w:type="dxa"/>
            <w:tcBorders>
              <w:top w:val="double" w:sz="4" w:space="0" w:color="auto"/>
            </w:tcBorders>
            <w:vAlign w:val="center"/>
            <w:hideMark/>
          </w:tcPr>
          <w:p w14:paraId="57DC17AC" w14:textId="77777777" w:rsidR="00B26F71" w:rsidRPr="00713B6C" w:rsidRDefault="00B26F71" w:rsidP="00B26F71">
            <w:pPr>
              <w:pStyle w:val="BodyText"/>
              <w:spacing w:before="40" w:after="40"/>
              <w:jc w:val="center"/>
              <w:rPr>
                <w:b/>
                <w:bCs/>
                <w:lang w:val="en-US"/>
              </w:rPr>
            </w:pPr>
            <w:r w:rsidRPr="00713B6C">
              <w:rPr>
                <w:b/>
                <w:bCs/>
                <w:lang w:val="en-GB"/>
              </w:rPr>
              <w:t>17</w:t>
            </w:r>
          </w:p>
        </w:tc>
        <w:tc>
          <w:tcPr>
            <w:tcW w:w="1013" w:type="dxa"/>
            <w:tcBorders>
              <w:top w:val="double" w:sz="4" w:space="0" w:color="auto"/>
            </w:tcBorders>
            <w:vAlign w:val="center"/>
            <w:hideMark/>
          </w:tcPr>
          <w:p w14:paraId="3185116E" w14:textId="77777777" w:rsidR="00B26F71" w:rsidRPr="00713B6C" w:rsidRDefault="00B26F71" w:rsidP="00B26F71">
            <w:pPr>
              <w:pStyle w:val="BodyText"/>
              <w:spacing w:before="40" w:after="40"/>
              <w:jc w:val="center"/>
              <w:rPr>
                <w:b/>
                <w:bCs/>
                <w:lang w:val="en-US"/>
              </w:rPr>
            </w:pPr>
            <w:r w:rsidRPr="00713B6C">
              <w:rPr>
                <w:b/>
                <w:bCs/>
                <w:lang w:val="en-GB"/>
              </w:rPr>
              <w:t>20</w:t>
            </w:r>
          </w:p>
        </w:tc>
        <w:tc>
          <w:tcPr>
            <w:tcW w:w="1013" w:type="dxa"/>
            <w:tcBorders>
              <w:top w:val="double" w:sz="4" w:space="0" w:color="auto"/>
            </w:tcBorders>
            <w:vAlign w:val="center"/>
            <w:hideMark/>
          </w:tcPr>
          <w:p w14:paraId="58FA790F" w14:textId="77777777" w:rsidR="00B26F71" w:rsidRPr="00713B6C" w:rsidRDefault="00B26F71" w:rsidP="00B26F71">
            <w:pPr>
              <w:pStyle w:val="BodyText"/>
              <w:spacing w:before="40" w:after="40"/>
              <w:jc w:val="center"/>
              <w:rPr>
                <w:lang w:val="en-US"/>
              </w:rPr>
            </w:pPr>
          </w:p>
        </w:tc>
        <w:tc>
          <w:tcPr>
            <w:tcW w:w="1013" w:type="dxa"/>
            <w:tcBorders>
              <w:top w:val="double" w:sz="4" w:space="0" w:color="auto"/>
            </w:tcBorders>
            <w:vAlign w:val="center"/>
            <w:hideMark/>
          </w:tcPr>
          <w:p w14:paraId="1C0314F6" w14:textId="77777777" w:rsidR="00B26F71" w:rsidRPr="00713B6C" w:rsidRDefault="00B26F71" w:rsidP="00B26F71">
            <w:pPr>
              <w:pStyle w:val="BodyText"/>
              <w:spacing w:before="40" w:after="40"/>
              <w:jc w:val="center"/>
              <w:rPr>
                <w:lang w:val="en-US"/>
              </w:rPr>
            </w:pPr>
          </w:p>
        </w:tc>
        <w:tc>
          <w:tcPr>
            <w:tcW w:w="1013" w:type="dxa"/>
            <w:tcBorders>
              <w:top w:val="double" w:sz="4" w:space="0" w:color="auto"/>
            </w:tcBorders>
            <w:vAlign w:val="center"/>
            <w:hideMark/>
          </w:tcPr>
          <w:p w14:paraId="3D47D30C" w14:textId="77777777" w:rsidR="00B26F71" w:rsidRPr="00713B6C" w:rsidRDefault="00B26F71" w:rsidP="00B26F71">
            <w:pPr>
              <w:pStyle w:val="BodyText"/>
              <w:spacing w:before="40" w:after="40"/>
              <w:jc w:val="center"/>
              <w:rPr>
                <w:lang w:val="en-US"/>
              </w:rPr>
            </w:pPr>
          </w:p>
        </w:tc>
      </w:tr>
      <w:tr w:rsidR="002F30F1" w:rsidRPr="00713B6C" w14:paraId="11A0F3E6" w14:textId="77777777" w:rsidTr="004F69A1">
        <w:trPr>
          <w:trHeight w:val="52"/>
        </w:trPr>
        <w:tc>
          <w:tcPr>
            <w:tcW w:w="1525" w:type="dxa"/>
            <w:tcBorders>
              <w:top w:val="double" w:sz="4" w:space="0" w:color="auto"/>
              <w:right w:val="double" w:sz="4" w:space="0" w:color="auto"/>
            </w:tcBorders>
            <w:vAlign w:val="center"/>
          </w:tcPr>
          <w:p w14:paraId="550097FF" w14:textId="755056FE" w:rsidR="002F30F1" w:rsidRPr="00713B6C" w:rsidRDefault="002F30F1" w:rsidP="002F30F1">
            <w:pPr>
              <w:pStyle w:val="BodyText"/>
              <w:spacing w:before="40" w:after="40"/>
              <w:jc w:val="center"/>
            </w:pPr>
            <w:r w:rsidRPr="00713B6C">
              <w:rPr>
                <w:lang w:val="en-US"/>
              </w:rPr>
              <w:t>N</w:t>
            </w:r>
            <w:r>
              <w:rPr>
                <w:vertAlign w:val="subscript"/>
                <w:lang w:val="en-US"/>
              </w:rPr>
              <w:t>3</w:t>
            </w:r>
            <w:r w:rsidRPr="00713B6C">
              <w:rPr>
                <w:lang w:val="en-US"/>
              </w:rPr>
              <w:t xml:space="preserve"> [OS]</w:t>
            </w:r>
          </w:p>
        </w:tc>
        <w:tc>
          <w:tcPr>
            <w:tcW w:w="1013" w:type="dxa"/>
            <w:tcBorders>
              <w:top w:val="double" w:sz="4" w:space="0" w:color="auto"/>
              <w:left w:val="double" w:sz="4" w:space="0" w:color="auto"/>
            </w:tcBorders>
            <w:vAlign w:val="center"/>
          </w:tcPr>
          <w:p w14:paraId="12D3F2E6" w14:textId="21B6AAF3" w:rsidR="002F30F1" w:rsidRPr="00713B6C" w:rsidRDefault="002F30F1" w:rsidP="002F30F1">
            <w:pPr>
              <w:pStyle w:val="BodyText"/>
              <w:spacing w:before="40" w:after="40"/>
              <w:jc w:val="center"/>
              <w:rPr>
                <w:b/>
                <w:bCs/>
                <w:lang w:val="en-GB"/>
              </w:rPr>
            </w:pPr>
            <w:r w:rsidRPr="00713B6C">
              <w:rPr>
                <w:b/>
                <w:bCs/>
                <w:lang w:val="en-GB"/>
              </w:rPr>
              <w:t>8</w:t>
            </w:r>
          </w:p>
        </w:tc>
        <w:tc>
          <w:tcPr>
            <w:tcW w:w="1013" w:type="dxa"/>
            <w:tcBorders>
              <w:top w:val="double" w:sz="4" w:space="0" w:color="auto"/>
            </w:tcBorders>
            <w:vAlign w:val="center"/>
          </w:tcPr>
          <w:p w14:paraId="681A0C30" w14:textId="77C8E884" w:rsidR="002F30F1" w:rsidRPr="00713B6C" w:rsidRDefault="002F30F1" w:rsidP="002F30F1">
            <w:pPr>
              <w:pStyle w:val="BodyText"/>
              <w:spacing w:before="40" w:after="40"/>
              <w:jc w:val="center"/>
              <w:rPr>
                <w:b/>
                <w:bCs/>
                <w:lang w:val="en-GB"/>
              </w:rPr>
            </w:pPr>
            <w:r w:rsidRPr="00713B6C">
              <w:rPr>
                <w:b/>
                <w:bCs/>
                <w:lang w:val="en-GB"/>
              </w:rPr>
              <w:t>10</w:t>
            </w:r>
          </w:p>
        </w:tc>
        <w:tc>
          <w:tcPr>
            <w:tcW w:w="1013" w:type="dxa"/>
            <w:tcBorders>
              <w:top w:val="double" w:sz="4" w:space="0" w:color="auto"/>
            </w:tcBorders>
            <w:vAlign w:val="center"/>
          </w:tcPr>
          <w:p w14:paraId="4A5274D7" w14:textId="718D11A7" w:rsidR="002F30F1" w:rsidRPr="00713B6C" w:rsidRDefault="002F30F1" w:rsidP="002F30F1">
            <w:pPr>
              <w:pStyle w:val="BodyText"/>
              <w:spacing w:before="40" w:after="40"/>
              <w:jc w:val="center"/>
              <w:rPr>
                <w:b/>
                <w:bCs/>
                <w:lang w:val="en-GB"/>
              </w:rPr>
            </w:pPr>
            <w:r w:rsidRPr="00713B6C">
              <w:rPr>
                <w:b/>
                <w:bCs/>
                <w:lang w:val="en-GB"/>
              </w:rPr>
              <w:t>17</w:t>
            </w:r>
          </w:p>
        </w:tc>
        <w:tc>
          <w:tcPr>
            <w:tcW w:w="1013" w:type="dxa"/>
            <w:tcBorders>
              <w:top w:val="double" w:sz="4" w:space="0" w:color="auto"/>
            </w:tcBorders>
            <w:vAlign w:val="center"/>
          </w:tcPr>
          <w:p w14:paraId="5859290E" w14:textId="4BEB1DB1" w:rsidR="002F30F1" w:rsidRPr="00713B6C" w:rsidRDefault="002F30F1" w:rsidP="002F30F1">
            <w:pPr>
              <w:pStyle w:val="BodyText"/>
              <w:spacing w:before="40" w:after="40"/>
              <w:jc w:val="center"/>
              <w:rPr>
                <w:b/>
                <w:bCs/>
                <w:lang w:val="en-GB"/>
              </w:rPr>
            </w:pPr>
            <w:r w:rsidRPr="00713B6C">
              <w:rPr>
                <w:b/>
                <w:bCs/>
                <w:lang w:val="en-GB"/>
              </w:rPr>
              <w:t>20</w:t>
            </w:r>
          </w:p>
        </w:tc>
        <w:tc>
          <w:tcPr>
            <w:tcW w:w="1013" w:type="dxa"/>
            <w:tcBorders>
              <w:top w:val="double" w:sz="4" w:space="0" w:color="auto"/>
            </w:tcBorders>
            <w:vAlign w:val="center"/>
          </w:tcPr>
          <w:p w14:paraId="6F88ECD4" w14:textId="77777777" w:rsidR="002F30F1" w:rsidRPr="00713B6C" w:rsidRDefault="002F30F1" w:rsidP="002F30F1">
            <w:pPr>
              <w:pStyle w:val="BodyText"/>
              <w:spacing w:before="40" w:after="40"/>
              <w:jc w:val="center"/>
            </w:pPr>
          </w:p>
        </w:tc>
        <w:tc>
          <w:tcPr>
            <w:tcW w:w="1013" w:type="dxa"/>
            <w:tcBorders>
              <w:top w:val="double" w:sz="4" w:space="0" w:color="auto"/>
            </w:tcBorders>
            <w:vAlign w:val="center"/>
          </w:tcPr>
          <w:p w14:paraId="72F26CAF" w14:textId="77777777" w:rsidR="002F30F1" w:rsidRPr="00713B6C" w:rsidRDefault="002F30F1" w:rsidP="002F30F1">
            <w:pPr>
              <w:pStyle w:val="BodyText"/>
              <w:spacing w:before="40" w:after="40"/>
              <w:jc w:val="center"/>
            </w:pPr>
          </w:p>
        </w:tc>
        <w:tc>
          <w:tcPr>
            <w:tcW w:w="1013" w:type="dxa"/>
            <w:tcBorders>
              <w:top w:val="double" w:sz="4" w:space="0" w:color="auto"/>
            </w:tcBorders>
            <w:vAlign w:val="center"/>
          </w:tcPr>
          <w:p w14:paraId="59407686" w14:textId="77777777" w:rsidR="002F30F1" w:rsidRPr="00713B6C" w:rsidRDefault="002F30F1" w:rsidP="002F30F1">
            <w:pPr>
              <w:pStyle w:val="BodyText"/>
              <w:spacing w:before="40" w:after="40"/>
              <w:jc w:val="center"/>
            </w:pPr>
          </w:p>
        </w:tc>
      </w:tr>
      <w:tr w:rsidR="0077232B" w:rsidRPr="00713B6C" w14:paraId="0F31168C" w14:textId="77777777" w:rsidTr="004F69A1">
        <w:trPr>
          <w:trHeight w:val="52"/>
        </w:trPr>
        <w:tc>
          <w:tcPr>
            <w:tcW w:w="1525" w:type="dxa"/>
            <w:tcBorders>
              <w:right w:val="double" w:sz="4" w:space="0" w:color="auto"/>
            </w:tcBorders>
            <w:vAlign w:val="center"/>
            <w:hideMark/>
          </w:tcPr>
          <w:p w14:paraId="65BD9EF3" w14:textId="77777777" w:rsidR="0077232B" w:rsidRPr="00713B6C" w:rsidRDefault="0077232B" w:rsidP="0077232B">
            <w:pPr>
              <w:pStyle w:val="BodyText"/>
              <w:spacing w:before="40" w:after="40"/>
              <w:jc w:val="center"/>
              <w:rPr>
                <w:lang w:val="en-US"/>
              </w:rPr>
            </w:pPr>
            <w:r w:rsidRPr="00713B6C">
              <w:rPr>
                <w:lang w:val="en-US"/>
              </w:rPr>
              <w:t>Estimate [OS]</w:t>
            </w:r>
          </w:p>
        </w:tc>
        <w:tc>
          <w:tcPr>
            <w:tcW w:w="1013" w:type="dxa"/>
            <w:tcBorders>
              <w:left w:val="double" w:sz="4" w:space="0" w:color="auto"/>
            </w:tcBorders>
            <w:vAlign w:val="center"/>
            <w:hideMark/>
          </w:tcPr>
          <w:p w14:paraId="3687CA30" w14:textId="77777777" w:rsidR="0077232B" w:rsidRPr="00713B6C" w:rsidRDefault="0077232B" w:rsidP="0077232B">
            <w:pPr>
              <w:pStyle w:val="BodyText"/>
              <w:spacing w:before="40" w:after="40"/>
              <w:jc w:val="center"/>
              <w:rPr>
                <w:lang w:val="en-US"/>
              </w:rPr>
            </w:pPr>
            <w:r w:rsidRPr="00713B6C">
              <w:rPr>
                <w:lang w:val="en-US"/>
              </w:rPr>
              <w:t>8</w:t>
            </w:r>
          </w:p>
        </w:tc>
        <w:tc>
          <w:tcPr>
            <w:tcW w:w="1013" w:type="dxa"/>
            <w:vAlign w:val="center"/>
            <w:hideMark/>
          </w:tcPr>
          <w:p w14:paraId="12645B39" w14:textId="77777777" w:rsidR="0077232B" w:rsidRPr="00713B6C" w:rsidRDefault="0077232B" w:rsidP="0077232B">
            <w:pPr>
              <w:pStyle w:val="BodyText"/>
              <w:spacing w:before="40" w:after="40"/>
              <w:jc w:val="center"/>
              <w:rPr>
                <w:lang w:val="en-US"/>
              </w:rPr>
            </w:pPr>
            <w:r w:rsidRPr="00713B6C">
              <w:rPr>
                <w:lang w:val="en-US"/>
              </w:rPr>
              <w:t>11</w:t>
            </w:r>
          </w:p>
        </w:tc>
        <w:tc>
          <w:tcPr>
            <w:tcW w:w="1013" w:type="dxa"/>
            <w:vAlign w:val="center"/>
            <w:hideMark/>
          </w:tcPr>
          <w:p w14:paraId="2F0C4DA2" w14:textId="77777777" w:rsidR="0077232B" w:rsidRPr="00713B6C" w:rsidRDefault="0077232B" w:rsidP="0077232B">
            <w:pPr>
              <w:pStyle w:val="BodyText"/>
              <w:spacing w:before="40" w:after="40"/>
              <w:jc w:val="center"/>
              <w:rPr>
                <w:lang w:val="en-US"/>
              </w:rPr>
            </w:pPr>
            <w:r w:rsidRPr="00713B6C">
              <w:rPr>
                <w:lang w:val="en-US"/>
              </w:rPr>
              <w:t>15</w:t>
            </w:r>
          </w:p>
        </w:tc>
        <w:tc>
          <w:tcPr>
            <w:tcW w:w="1013" w:type="dxa"/>
            <w:vAlign w:val="center"/>
            <w:hideMark/>
          </w:tcPr>
          <w:p w14:paraId="060B14F9" w14:textId="77777777" w:rsidR="0077232B" w:rsidRPr="00713B6C" w:rsidRDefault="0077232B" w:rsidP="0077232B">
            <w:pPr>
              <w:pStyle w:val="BodyText"/>
              <w:spacing w:before="40" w:after="40"/>
              <w:jc w:val="center"/>
              <w:rPr>
                <w:lang w:val="en-US"/>
              </w:rPr>
            </w:pPr>
            <w:r w:rsidRPr="00713B6C">
              <w:rPr>
                <w:lang w:val="en-US"/>
              </w:rPr>
              <w:t>20</w:t>
            </w:r>
          </w:p>
        </w:tc>
        <w:tc>
          <w:tcPr>
            <w:tcW w:w="1013" w:type="dxa"/>
            <w:vAlign w:val="center"/>
            <w:hideMark/>
          </w:tcPr>
          <w:p w14:paraId="7230551E" w14:textId="33414EDC" w:rsidR="0077232B" w:rsidRPr="00713B6C" w:rsidRDefault="0077232B" w:rsidP="0077232B">
            <w:pPr>
              <w:pStyle w:val="BodyText"/>
              <w:spacing w:before="40" w:after="40"/>
              <w:jc w:val="center"/>
              <w:rPr>
                <w:lang w:val="en-US"/>
              </w:rPr>
            </w:pPr>
            <w:r w:rsidRPr="0077232B">
              <w:rPr>
                <w:lang w:val="en-US"/>
              </w:rPr>
              <w:t>27</w:t>
            </w:r>
          </w:p>
        </w:tc>
        <w:tc>
          <w:tcPr>
            <w:tcW w:w="1013" w:type="dxa"/>
            <w:vAlign w:val="center"/>
            <w:hideMark/>
          </w:tcPr>
          <w:p w14:paraId="433E56BC" w14:textId="6F550E23" w:rsidR="0077232B" w:rsidRPr="00713B6C" w:rsidRDefault="0077232B" w:rsidP="0077232B">
            <w:pPr>
              <w:pStyle w:val="BodyText"/>
              <w:spacing w:before="40" w:after="40"/>
              <w:jc w:val="center"/>
              <w:rPr>
                <w:lang w:val="en-US"/>
              </w:rPr>
            </w:pPr>
            <w:r w:rsidRPr="0077232B">
              <w:rPr>
                <w:lang w:val="en-US"/>
              </w:rPr>
              <w:t>37</w:t>
            </w:r>
          </w:p>
        </w:tc>
        <w:tc>
          <w:tcPr>
            <w:tcW w:w="1013" w:type="dxa"/>
            <w:vAlign w:val="center"/>
            <w:hideMark/>
          </w:tcPr>
          <w:p w14:paraId="4992476F" w14:textId="4C5F15E9" w:rsidR="0077232B" w:rsidRPr="00713B6C" w:rsidRDefault="0077232B" w:rsidP="0077232B">
            <w:pPr>
              <w:pStyle w:val="BodyText"/>
              <w:spacing w:before="40" w:after="40"/>
              <w:jc w:val="center"/>
              <w:rPr>
                <w:lang w:val="en-US"/>
              </w:rPr>
            </w:pPr>
            <w:r w:rsidRPr="0077232B">
              <w:rPr>
                <w:lang w:val="en-US"/>
              </w:rPr>
              <w:t>50</w:t>
            </w:r>
          </w:p>
        </w:tc>
      </w:tr>
      <w:tr w:rsidR="00B26F71" w:rsidRPr="009A1793" w14:paraId="4F1B5571" w14:textId="77777777" w:rsidTr="004F69A1">
        <w:trPr>
          <w:trHeight w:val="52"/>
        </w:trPr>
        <w:tc>
          <w:tcPr>
            <w:tcW w:w="1525" w:type="dxa"/>
            <w:tcBorders>
              <w:right w:val="double" w:sz="4" w:space="0" w:color="auto"/>
            </w:tcBorders>
            <w:vAlign w:val="center"/>
            <w:hideMark/>
          </w:tcPr>
          <w:p w14:paraId="693AB134" w14:textId="77777777" w:rsidR="00B26F71" w:rsidRPr="009A1793" w:rsidRDefault="00B26F71" w:rsidP="00B26F71">
            <w:pPr>
              <w:pStyle w:val="BodyText"/>
              <w:spacing w:before="40" w:after="40"/>
              <w:jc w:val="center"/>
            </w:pPr>
            <w:r w:rsidRPr="009A1793">
              <w:t>Estimate [</w:t>
            </w:r>
            <w:r w:rsidRPr="009A1793">
              <w:rPr>
                <w:lang w:val="el-GR"/>
              </w:rPr>
              <w:t>μ</w:t>
            </w:r>
            <w:r w:rsidRPr="009A1793">
              <w:t>s]</w:t>
            </w:r>
          </w:p>
        </w:tc>
        <w:tc>
          <w:tcPr>
            <w:tcW w:w="1013" w:type="dxa"/>
            <w:tcBorders>
              <w:left w:val="double" w:sz="4" w:space="0" w:color="auto"/>
            </w:tcBorders>
            <w:vAlign w:val="center"/>
            <w:hideMark/>
          </w:tcPr>
          <w:p w14:paraId="0BAD0883" w14:textId="77777777" w:rsidR="00B26F71" w:rsidRPr="009A1793" w:rsidRDefault="00B26F71" w:rsidP="00B26F71">
            <w:pPr>
              <w:pStyle w:val="BodyText"/>
              <w:spacing w:before="40" w:after="40"/>
              <w:jc w:val="center"/>
            </w:pPr>
            <w:r w:rsidRPr="009A1793">
              <w:t>571</w:t>
            </w:r>
          </w:p>
        </w:tc>
        <w:tc>
          <w:tcPr>
            <w:tcW w:w="1013" w:type="dxa"/>
            <w:vAlign w:val="center"/>
            <w:hideMark/>
          </w:tcPr>
          <w:p w14:paraId="082C3D4B" w14:textId="77777777" w:rsidR="00B26F71" w:rsidRPr="009A1793" w:rsidRDefault="00B26F71" w:rsidP="00B26F71">
            <w:pPr>
              <w:pStyle w:val="BodyText"/>
              <w:spacing w:before="40" w:after="40"/>
              <w:jc w:val="center"/>
            </w:pPr>
            <w:r w:rsidRPr="009A1793">
              <w:t>388</w:t>
            </w:r>
          </w:p>
        </w:tc>
        <w:tc>
          <w:tcPr>
            <w:tcW w:w="1013" w:type="dxa"/>
            <w:vAlign w:val="center"/>
            <w:hideMark/>
          </w:tcPr>
          <w:p w14:paraId="24382676" w14:textId="77777777" w:rsidR="00B26F71" w:rsidRPr="009A1793" w:rsidRDefault="00B26F71" w:rsidP="00B26F71">
            <w:pPr>
              <w:pStyle w:val="BodyText"/>
              <w:spacing w:before="40" w:after="40"/>
              <w:jc w:val="center"/>
            </w:pPr>
            <w:r w:rsidRPr="009A1793">
              <w:t>263</w:t>
            </w:r>
          </w:p>
        </w:tc>
        <w:tc>
          <w:tcPr>
            <w:tcW w:w="1013" w:type="dxa"/>
            <w:vAlign w:val="center"/>
            <w:hideMark/>
          </w:tcPr>
          <w:p w14:paraId="192849E5" w14:textId="77777777" w:rsidR="00B26F71" w:rsidRPr="009A1793" w:rsidRDefault="00B26F71" w:rsidP="00B26F71">
            <w:pPr>
              <w:pStyle w:val="BodyText"/>
              <w:spacing w:before="40" w:after="40"/>
              <w:jc w:val="center"/>
            </w:pPr>
            <w:r w:rsidRPr="009A1793">
              <w:t>179</w:t>
            </w:r>
          </w:p>
        </w:tc>
        <w:tc>
          <w:tcPr>
            <w:tcW w:w="1013" w:type="dxa"/>
            <w:vAlign w:val="center"/>
            <w:hideMark/>
          </w:tcPr>
          <w:p w14:paraId="39A7A58B" w14:textId="77777777" w:rsidR="00B26F71" w:rsidRPr="009A1793" w:rsidRDefault="00B26F71" w:rsidP="00B26F71">
            <w:pPr>
              <w:pStyle w:val="BodyText"/>
              <w:spacing w:before="40" w:after="40"/>
              <w:jc w:val="center"/>
            </w:pPr>
            <w:r w:rsidRPr="009A1793">
              <w:t>121</w:t>
            </w:r>
          </w:p>
        </w:tc>
        <w:tc>
          <w:tcPr>
            <w:tcW w:w="1013" w:type="dxa"/>
            <w:vAlign w:val="center"/>
            <w:hideMark/>
          </w:tcPr>
          <w:p w14:paraId="6F8686AE" w14:textId="77777777" w:rsidR="00B26F71" w:rsidRPr="009A1793" w:rsidRDefault="00B26F71" w:rsidP="00B26F71">
            <w:pPr>
              <w:pStyle w:val="BodyText"/>
              <w:spacing w:before="40" w:after="40"/>
              <w:jc w:val="center"/>
            </w:pPr>
            <w:r w:rsidRPr="009A1793">
              <w:t>82</w:t>
            </w:r>
          </w:p>
        </w:tc>
        <w:tc>
          <w:tcPr>
            <w:tcW w:w="1013" w:type="dxa"/>
            <w:vAlign w:val="center"/>
            <w:hideMark/>
          </w:tcPr>
          <w:p w14:paraId="16E9C277" w14:textId="77777777" w:rsidR="00B26F71" w:rsidRPr="009A1793" w:rsidRDefault="00B26F71" w:rsidP="00B26F71">
            <w:pPr>
              <w:pStyle w:val="BodyText"/>
              <w:spacing w:before="40" w:after="40"/>
              <w:jc w:val="center"/>
            </w:pPr>
            <w:r w:rsidRPr="009A1793">
              <w:t>56</w:t>
            </w:r>
          </w:p>
        </w:tc>
      </w:tr>
    </w:tbl>
    <w:p w14:paraId="738C27B2" w14:textId="77777777" w:rsidR="00257207" w:rsidRDefault="00257207" w:rsidP="00296180">
      <w:pPr>
        <w:pStyle w:val="BodyText"/>
      </w:pPr>
    </w:p>
    <w:p w14:paraId="1B32CE17" w14:textId="77777777" w:rsidR="006723FC" w:rsidRDefault="00471D59" w:rsidP="00296180">
      <w:pPr>
        <w:pStyle w:val="BodyText"/>
      </w:pPr>
      <w:r>
        <w:t xml:space="preserve">The Rel-15 </w:t>
      </w:r>
      <w:r w:rsidR="00FD00B8">
        <w:t xml:space="preserve">PUSCH </w:t>
      </w:r>
      <w:r w:rsidR="00C00891">
        <w:t>scheduling latency</w:t>
      </w:r>
      <w:r w:rsidR="00FD00B8">
        <w:t xml:space="preserve"> can be similarly fitted to a simple formula</w:t>
      </w:r>
      <w:r w:rsidR="00C00891">
        <w:t xml:space="preserve">. The PUSCH preparation time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C00891">
        <w:t xml:space="preserve"> for numerology </w:t>
      </w:r>
      <m:oMath>
        <m:r>
          <w:rPr>
            <w:rFonts w:ascii="Cambria Math" w:hAnsi="Cambria Math"/>
          </w:rPr>
          <m:t>μ</m:t>
        </m:r>
      </m:oMath>
      <w:r w:rsidR="00C00891">
        <w:t xml:space="preserve"> in terms of the number of OS in the respective numerology can be approximated by</w:t>
      </w:r>
    </w:p>
    <w:p w14:paraId="63C43496" w14:textId="77777777" w:rsidR="006723FC" w:rsidRDefault="00B04ED4" w:rsidP="00296180">
      <w:pPr>
        <w:pStyle w:val="BodyText"/>
        <w:rPr>
          <w:iCs/>
        </w:rPr>
      </w:pPr>
      <m:oMathPara>
        <m:oMath>
          <m:sSub>
            <m:sSubPr>
              <m:ctrlPr>
                <w:rPr>
                  <w:rFonts w:ascii="Cambria Math" w:hAnsi="Cambria Math"/>
                  <w:i/>
                  <w:iCs/>
                </w:rPr>
              </m:ctrlPr>
            </m:sSubPr>
            <m:e>
              <m:r>
                <w:rPr>
                  <w:rFonts w:ascii="Cambria Math" w:hAnsi="Cambria Math"/>
                </w:rPr>
                <m:t>N</m:t>
              </m:r>
            </m:e>
            <m:sub>
              <m:r>
                <w:rPr>
                  <w:rFonts w:ascii="Cambria Math" w:hAnsi="Cambria Math"/>
                </w:rPr>
                <m:t>2</m:t>
              </m:r>
            </m:sub>
          </m:sSub>
          <m:r>
            <w:rPr>
              <w:rFonts w:ascii="Cambria Math" w:hAnsi="Cambria Math"/>
            </w:rPr>
            <m:t>≅9×</m:t>
          </m:r>
          <m:sSup>
            <m:sSupPr>
              <m:ctrlPr>
                <w:rPr>
                  <w:rFonts w:ascii="Cambria Math" w:hAnsi="Cambria Math"/>
                  <w:i/>
                  <w:iCs/>
                </w:rPr>
              </m:ctrlPr>
            </m:sSupPr>
            <m:e>
              <m:r>
                <w:rPr>
                  <w:rFonts w:ascii="Cambria Math" w:hAnsi="Cambria Math"/>
                </w:rPr>
                <m:t>2</m:t>
              </m:r>
            </m:e>
            <m:sup>
              <m:r>
                <w:rPr>
                  <w:rFonts w:ascii="Cambria Math" w:hAnsi="Cambria Math"/>
                </w:rPr>
                <m:t>0.67μ</m:t>
              </m:r>
            </m:sup>
          </m:sSup>
        </m:oMath>
      </m:oMathPara>
    </w:p>
    <w:p w14:paraId="5AB2CA34" w14:textId="52D03817" w:rsidR="00C00891" w:rsidRDefault="0020763C" w:rsidP="00296180">
      <w:pPr>
        <w:pStyle w:val="BodyText"/>
      </w:pPr>
      <w:r>
        <w:rPr>
          <w:iCs/>
        </w:rPr>
        <w:t xml:space="preserve">As tabulated in </w:t>
      </w:r>
      <w:r w:rsidRPr="0020763C">
        <w:rPr>
          <w:iCs/>
        </w:rPr>
        <w:fldChar w:fldCharType="begin"/>
      </w:r>
      <w:r w:rsidRPr="0020763C">
        <w:rPr>
          <w:iCs/>
        </w:rPr>
        <w:instrText xml:space="preserve"> REF _Ref46407328 \h  \* MERGEFORMAT </w:instrText>
      </w:r>
      <w:r w:rsidRPr="0020763C">
        <w:rPr>
          <w:iCs/>
        </w:rPr>
      </w:r>
      <w:r w:rsidRPr="0020763C">
        <w:rPr>
          <w:iCs/>
        </w:rPr>
        <w:fldChar w:fldCharType="separate"/>
      </w:r>
      <w:r w:rsidR="00BE31F7" w:rsidRPr="00F676BA">
        <w:t xml:space="preserve">Figure </w:t>
      </w:r>
      <w:r w:rsidR="00BE31F7">
        <w:t>35</w:t>
      </w:r>
      <w:r w:rsidRPr="0020763C">
        <w:rPr>
          <w:iCs/>
        </w:rPr>
        <w:fldChar w:fldCharType="end"/>
      </w:r>
      <w:r>
        <w:rPr>
          <w:iCs/>
        </w:rPr>
        <w:t xml:space="preserve">, the benchmark for </w:t>
      </w:r>
      <w:r>
        <w:t>P</w:t>
      </w:r>
      <w:r w:rsidR="00FC4359">
        <w:t>U</w:t>
      </w:r>
      <w:r>
        <w:t xml:space="preserve">SCH </w:t>
      </w:r>
      <w:r w:rsidR="00FC4359">
        <w:t>preparation</w:t>
      </w:r>
      <w:r>
        <w:t xml:space="preserve"> time for 480 kHz SCS should be </w:t>
      </w:r>
      <w:r w:rsidR="00FD1B9F">
        <w:t xml:space="preserve">less than </w:t>
      </w:r>
      <w:r w:rsidR="00F5422C">
        <w:t>7 slots</w:t>
      </w:r>
      <w:r>
        <w:t xml:space="preserve">. For 960 kHz SCS, the benchmark should be around </w:t>
      </w:r>
      <w:r w:rsidR="00F95193">
        <w:t>1</w:t>
      </w:r>
      <w:r w:rsidR="00DB39BD">
        <w:t>0 slots</w:t>
      </w:r>
      <w:r>
        <w:t xml:space="preserve"> rather than</w:t>
      </w:r>
      <w:r w:rsidR="00DB39BD">
        <w:t xml:space="preserve"> 20 slots</w:t>
      </w:r>
      <w:r>
        <w:t>.</w:t>
      </w:r>
    </w:p>
    <w:p w14:paraId="3B0658E9" w14:textId="7556FC5E" w:rsidR="009356D3" w:rsidRPr="00F676BA" w:rsidRDefault="009356D3" w:rsidP="00F676BA">
      <w:pPr>
        <w:pStyle w:val="TF"/>
        <w:keepLines w:val="0"/>
        <w:rPr>
          <w:lang w:val="en-US"/>
        </w:rPr>
      </w:pPr>
      <w:bookmarkStart w:id="176" w:name="_Ref46407328"/>
      <w:r w:rsidRPr="00F676BA">
        <w:rPr>
          <w:lang w:val="en-US"/>
        </w:rPr>
        <w:t xml:space="preserve">Figure </w:t>
      </w:r>
      <w:r w:rsidRPr="00F676BA">
        <w:rPr>
          <w:lang w:val="en-US"/>
        </w:rPr>
        <w:fldChar w:fldCharType="begin"/>
      </w:r>
      <w:r w:rsidRPr="00F676BA">
        <w:rPr>
          <w:lang w:val="en-US"/>
        </w:rPr>
        <w:instrText xml:space="preserve"> SEQ Figure \* ARABIC </w:instrText>
      </w:r>
      <w:r w:rsidRPr="00F676BA">
        <w:rPr>
          <w:lang w:val="en-US"/>
        </w:rPr>
        <w:fldChar w:fldCharType="separate"/>
      </w:r>
      <w:r w:rsidR="00BE31F7">
        <w:rPr>
          <w:noProof/>
          <w:lang w:val="en-US"/>
        </w:rPr>
        <w:t>35</w:t>
      </w:r>
      <w:r w:rsidRPr="00F676BA">
        <w:rPr>
          <w:lang w:val="en-US"/>
        </w:rPr>
        <w:fldChar w:fldCharType="end"/>
      </w:r>
      <w:bookmarkEnd w:id="176"/>
      <w:r w:rsidRPr="00F676BA">
        <w:rPr>
          <w:lang w:val="en-US"/>
        </w:rPr>
        <w:t>: Extrapolated PUSCH preparation time</w:t>
      </w:r>
    </w:p>
    <w:tbl>
      <w:tblPr>
        <w:tblStyle w:val="TableGrid"/>
        <w:tblW w:w="8616" w:type="dxa"/>
        <w:tblInd w:w="445" w:type="dxa"/>
        <w:tblLook w:val="04A0" w:firstRow="1" w:lastRow="0" w:firstColumn="1" w:lastColumn="0" w:noHBand="0" w:noVBand="1"/>
      </w:tblPr>
      <w:tblGrid>
        <w:gridCol w:w="1525"/>
        <w:gridCol w:w="1013"/>
        <w:gridCol w:w="1013"/>
        <w:gridCol w:w="1013"/>
        <w:gridCol w:w="1013"/>
        <w:gridCol w:w="1013"/>
        <w:gridCol w:w="1013"/>
        <w:gridCol w:w="1013"/>
      </w:tblGrid>
      <w:tr w:rsidR="009356D3" w:rsidRPr="00713B6C" w14:paraId="1079A62D" w14:textId="77777777" w:rsidTr="004F69A1">
        <w:trPr>
          <w:trHeight w:val="52"/>
        </w:trPr>
        <w:tc>
          <w:tcPr>
            <w:tcW w:w="1525" w:type="dxa"/>
            <w:tcBorders>
              <w:bottom w:val="double" w:sz="4" w:space="0" w:color="auto"/>
              <w:right w:val="double" w:sz="4" w:space="0" w:color="auto"/>
            </w:tcBorders>
            <w:vAlign w:val="center"/>
            <w:hideMark/>
          </w:tcPr>
          <w:p w14:paraId="7D8DA5C7" w14:textId="77777777" w:rsidR="009356D3" w:rsidRPr="00713B6C" w:rsidRDefault="009356D3" w:rsidP="00FD7A5F">
            <w:pPr>
              <w:pStyle w:val="BodyText"/>
              <w:spacing w:before="40" w:after="40"/>
              <w:jc w:val="center"/>
              <w:rPr>
                <w:lang w:val="en-US"/>
              </w:rPr>
            </w:pPr>
            <w:r w:rsidRPr="00713B6C">
              <w:rPr>
                <w:lang w:val="en-US"/>
              </w:rPr>
              <w:t>SCS [kHz]</w:t>
            </w:r>
          </w:p>
        </w:tc>
        <w:tc>
          <w:tcPr>
            <w:tcW w:w="1013" w:type="dxa"/>
            <w:tcBorders>
              <w:left w:val="double" w:sz="4" w:space="0" w:color="auto"/>
              <w:bottom w:val="double" w:sz="4" w:space="0" w:color="auto"/>
            </w:tcBorders>
            <w:vAlign w:val="center"/>
            <w:hideMark/>
          </w:tcPr>
          <w:p w14:paraId="3E1DB9E8" w14:textId="77777777" w:rsidR="009356D3" w:rsidRPr="00713B6C" w:rsidRDefault="009356D3" w:rsidP="00FD7A5F">
            <w:pPr>
              <w:pStyle w:val="BodyText"/>
              <w:spacing w:before="40" w:after="40"/>
              <w:jc w:val="center"/>
              <w:rPr>
                <w:lang w:val="en-US"/>
              </w:rPr>
            </w:pPr>
            <w:r w:rsidRPr="00713B6C">
              <w:rPr>
                <w:lang w:val="en-GB"/>
              </w:rPr>
              <w:t>15</w:t>
            </w:r>
          </w:p>
        </w:tc>
        <w:tc>
          <w:tcPr>
            <w:tcW w:w="1013" w:type="dxa"/>
            <w:tcBorders>
              <w:bottom w:val="double" w:sz="4" w:space="0" w:color="auto"/>
            </w:tcBorders>
            <w:vAlign w:val="center"/>
            <w:hideMark/>
          </w:tcPr>
          <w:p w14:paraId="1571C171" w14:textId="77777777" w:rsidR="009356D3" w:rsidRPr="00713B6C" w:rsidRDefault="009356D3" w:rsidP="00FD7A5F">
            <w:pPr>
              <w:pStyle w:val="BodyText"/>
              <w:spacing w:before="40" w:after="40"/>
              <w:jc w:val="center"/>
              <w:rPr>
                <w:lang w:val="en-US"/>
              </w:rPr>
            </w:pPr>
            <w:r w:rsidRPr="00713B6C">
              <w:rPr>
                <w:lang w:val="en-GB"/>
              </w:rPr>
              <w:t>30</w:t>
            </w:r>
          </w:p>
        </w:tc>
        <w:tc>
          <w:tcPr>
            <w:tcW w:w="1013" w:type="dxa"/>
            <w:tcBorders>
              <w:bottom w:val="double" w:sz="4" w:space="0" w:color="auto"/>
            </w:tcBorders>
            <w:vAlign w:val="center"/>
            <w:hideMark/>
          </w:tcPr>
          <w:p w14:paraId="4816BC74" w14:textId="77777777" w:rsidR="009356D3" w:rsidRPr="00713B6C" w:rsidRDefault="009356D3" w:rsidP="00FD7A5F">
            <w:pPr>
              <w:pStyle w:val="BodyText"/>
              <w:spacing w:before="40" w:after="40"/>
              <w:jc w:val="center"/>
              <w:rPr>
                <w:lang w:val="en-US"/>
              </w:rPr>
            </w:pPr>
            <w:r w:rsidRPr="00713B6C">
              <w:rPr>
                <w:lang w:val="en-GB"/>
              </w:rPr>
              <w:t>60</w:t>
            </w:r>
          </w:p>
        </w:tc>
        <w:tc>
          <w:tcPr>
            <w:tcW w:w="1013" w:type="dxa"/>
            <w:tcBorders>
              <w:bottom w:val="double" w:sz="4" w:space="0" w:color="auto"/>
            </w:tcBorders>
            <w:vAlign w:val="center"/>
            <w:hideMark/>
          </w:tcPr>
          <w:p w14:paraId="2B489505" w14:textId="77777777" w:rsidR="009356D3" w:rsidRPr="00713B6C" w:rsidRDefault="009356D3" w:rsidP="00FD7A5F">
            <w:pPr>
              <w:pStyle w:val="BodyText"/>
              <w:spacing w:before="40" w:after="40"/>
              <w:jc w:val="center"/>
              <w:rPr>
                <w:lang w:val="en-US"/>
              </w:rPr>
            </w:pPr>
            <w:r w:rsidRPr="00713B6C">
              <w:rPr>
                <w:lang w:val="en-GB"/>
              </w:rPr>
              <w:t>120</w:t>
            </w:r>
          </w:p>
        </w:tc>
        <w:tc>
          <w:tcPr>
            <w:tcW w:w="1013" w:type="dxa"/>
            <w:tcBorders>
              <w:bottom w:val="double" w:sz="4" w:space="0" w:color="auto"/>
            </w:tcBorders>
            <w:vAlign w:val="center"/>
            <w:hideMark/>
          </w:tcPr>
          <w:p w14:paraId="1A89A35B" w14:textId="77777777" w:rsidR="009356D3" w:rsidRPr="00713B6C" w:rsidRDefault="009356D3" w:rsidP="00FD7A5F">
            <w:pPr>
              <w:pStyle w:val="BodyText"/>
              <w:spacing w:before="40" w:after="40"/>
              <w:jc w:val="center"/>
              <w:rPr>
                <w:lang w:val="en-US"/>
              </w:rPr>
            </w:pPr>
            <w:r w:rsidRPr="00713B6C">
              <w:rPr>
                <w:lang w:val="en-US"/>
              </w:rPr>
              <w:t>240</w:t>
            </w:r>
          </w:p>
        </w:tc>
        <w:tc>
          <w:tcPr>
            <w:tcW w:w="1013" w:type="dxa"/>
            <w:tcBorders>
              <w:bottom w:val="double" w:sz="4" w:space="0" w:color="auto"/>
            </w:tcBorders>
            <w:vAlign w:val="center"/>
            <w:hideMark/>
          </w:tcPr>
          <w:p w14:paraId="2D4C98ED" w14:textId="77777777" w:rsidR="009356D3" w:rsidRPr="00713B6C" w:rsidRDefault="009356D3" w:rsidP="00FD7A5F">
            <w:pPr>
              <w:pStyle w:val="BodyText"/>
              <w:spacing w:before="40" w:after="40"/>
              <w:jc w:val="center"/>
              <w:rPr>
                <w:lang w:val="en-US"/>
              </w:rPr>
            </w:pPr>
            <w:r w:rsidRPr="00713B6C">
              <w:rPr>
                <w:lang w:val="en-US"/>
              </w:rPr>
              <w:t>480</w:t>
            </w:r>
          </w:p>
        </w:tc>
        <w:tc>
          <w:tcPr>
            <w:tcW w:w="1013" w:type="dxa"/>
            <w:tcBorders>
              <w:bottom w:val="double" w:sz="4" w:space="0" w:color="auto"/>
            </w:tcBorders>
            <w:vAlign w:val="center"/>
            <w:hideMark/>
          </w:tcPr>
          <w:p w14:paraId="6E937EC8" w14:textId="77777777" w:rsidR="009356D3" w:rsidRPr="00713B6C" w:rsidRDefault="009356D3" w:rsidP="00FD7A5F">
            <w:pPr>
              <w:pStyle w:val="BodyText"/>
              <w:spacing w:before="40" w:after="40"/>
              <w:jc w:val="center"/>
              <w:rPr>
                <w:lang w:val="en-US"/>
              </w:rPr>
            </w:pPr>
            <w:r w:rsidRPr="00713B6C">
              <w:rPr>
                <w:lang w:val="en-US"/>
              </w:rPr>
              <w:t>960</w:t>
            </w:r>
          </w:p>
        </w:tc>
      </w:tr>
      <w:tr w:rsidR="00D943CD" w:rsidRPr="00713B6C" w14:paraId="0B6FC000" w14:textId="77777777" w:rsidTr="004F69A1">
        <w:trPr>
          <w:trHeight w:val="52"/>
        </w:trPr>
        <w:tc>
          <w:tcPr>
            <w:tcW w:w="1525" w:type="dxa"/>
            <w:tcBorders>
              <w:top w:val="double" w:sz="4" w:space="0" w:color="auto"/>
              <w:right w:val="double" w:sz="4" w:space="0" w:color="auto"/>
            </w:tcBorders>
            <w:vAlign w:val="center"/>
            <w:hideMark/>
          </w:tcPr>
          <w:p w14:paraId="25E8BA81" w14:textId="36E901CB" w:rsidR="00D943CD" w:rsidRPr="00713B6C" w:rsidRDefault="00D943CD" w:rsidP="00D943CD">
            <w:pPr>
              <w:pStyle w:val="BodyText"/>
              <w:spacing w:before="40" w:after="40"/>
              <w:jc w:val="center"/>
              <w:rPr>
                <w:lang w:val="en-US"/>
              </w:rPr>
            </w:pPr>
            <w:r w:rsidRPr="00713B6C">
              <w:rPr>
                <w:lang w:val="en-US"/>
              </w:rPr>
              <w:t>N</w:t>
            </w:r>
            <w:r w:rsidR="00801451" w:rsidRPr="00801451">
              <w:rPr>
                <w:vertAlign w:val="subscript"/>
                <w:lang w:val="en-US"/>
              </w:rPr>
              <w:t>2</w:t>
            </w:r>
            <w:r w:rsidRPr="00713B6C">
              <w:rPr>
                <w:lang w:val="en-US"/>
              </w:rPr>
              <w:t xml:space="preserve"> [OS]</w:t>
            </w:r>
          </w:p>
        </w:tc>
        <w:tc>
          <w:tcPr>
            <w:tcW w:w="1013" w:type="dxa"/>
            <w:tcBorders>
              <w:top w:val="double" w:sz="4" w:space="0" w:color="auto"/>
              <w:left w:val="double" w:sz="4" w:space="0" w:color="auto"/>
            </w:tcBorders>
            <w:vAlign w:val="center"/>
            <w:hideMark/>
          </w:tcPr>
          <w:p w14:paraId="6C47BC81" w14:textId="490E3D76" w:rsidR="00D943CD" w:rsidRPr="00713B6C" w:rsidRDefault="00D943CD" w:rsidP="00D943CD">
            <w:pPr>
              <w:pStyle w:val="BodyText"/>
              <w:spacing w:before="40" w:after="40"/>
              <w:jc w:val="center"/>
              <w:rPr>
                <w:b/>
                <w:bCs/>
                <w:lang w:val="en-GB"/>
              </w:rPr>
            </w:pPr>
            <w:r w:rsidRPr="0015635F">
              <w:rPr>
                <w:b/>
                <w:bCs/>
                <w:lang w:val="en-GB"/>
              </w:rPr>
              <w:t>10</w:t>
            </w:r>
          </w:p>
        </w:tc>
        <w:tc>
          <w:tcPr>
            <w:tcW w:w="1013" w:type="dxa"/>
            <w:tcBorders>
              <w:top w:val="double" w:sz="4" w:space="0" w:color="auto"/>
            </w:tcBorders>
            <w:vAlign w:val="center"/>
            <w:hideMark/>
          </w:tcPr>
          <w:p w14:paraId="1717924F" w14:textId="62B41B3F" w:rsidR="00D943CD" w:rsidRPr="00713B6C" w:rsidRDefault="00D943CD" w:rsidP="00D943CD">
            <w:pPr>
              <w:pStyle w:val="BodyText"/>
              <w:spacing w:before="40" w:after="40"/>
              <w:jc w:val="center"/>
              <w:rPr>
                <w:b/>
                <w:bCs/>
                <w:lang w:val="en-GB"/>
              </w:rPr>
            </w:pPr>
            <w:r w:rsidRPr="0015635F">
              <w:rPr>
                <w:b/>
                <w:bCs/>
                <w:lang w:val="en-GB"/>
              </w:rPr>
              <w:t>12</w:t>
            </w:r>
          </w:p>
        </w:tc>
        <w:tc>
          <w:tcPr>
            <w:tcW w:w="1013" w:type="dxa"/>
            <w:tcBorders>
              <w:top w:val="double" w:sz="4" w:space="0" w:color="auto"/>
            </w:tcBorders>
            <w:vAlign w:val="center"/>
            <w:hideMark/>
          </w:tcPr>
          <w:p w14:paraId="7E549479" w14:textId="62025349" w:rsidR="00D943CD" w:rsidRPr="00713B6C" w:rsidRDefault="00D943CD" w:rsidP="00D943CD">
            <w:pPr>
              <w:pStyle w:val="BodyText"/>
              <w:spacing w:before="40" w:after="40"/>
              <w:jc w:val="center"/>
              <w:rPr>
                <w:b/>
                <w:bCs/>
                <w:lang w:val="en-GB"/>
              </w:rPr>
            </w:pPr>
            <w:r w:rsidRPr="0015635F">
              <w:rPr>
                <w:b/>
                <w:bCs/>
                <w:lang w:val="en-GB"/>
              </w:rPr>
              <w:t>23</w:t>
            </w:r>
          </w:p>
        </w:tc>
        <w:tc>
          <w:tcPr>
            <w:tcW w:w="1013" w:type="dxa"/>
            <w:tcBorders>
              <w:top w:val="double" w:sz="4" w:space="0" w:color="auto"/>
            </w:tcBorders>
            <w:vAlign w:val="center"/>
            <w:hideMark/>
          </w:tcPr>
          <w:p w14:paraId="0DD0D381" w14:textId="16A67C20" w:rsidR="00D943CD" w:rsidRPr="00713B6C" w:rsidRDefault="00D943CD" w:rsidP="00D943CD">
            <w:pPr>
              <w:pStyle w:val="BodyText"/>
              <w:spacing w:before="40" w:after="40"/>
              <w:jc w:val="center"/>
              <w:rPr>
                <w:b/>
                <w:bCs/>
                <w:lang w:val="en-GB"/>
              </w:rPr>
            </w:pPr>
            <w:r w:rsidRPr="0015635F">
              <w:rPr>
                <w:b/>
                <w:bCs/>
                <w:lang w:val="en-GB"/>
              </w:rPr>
              <w:t>36</w:t>
            </w:r>
          </w:p>
        </w:tc>
        <w:tc>
          <w:tcPr>
            <w:tcW w:w="1013" w:type="dxa"/>
            <w:tcBorders>
              <w:top w:val="double" w:sz="4" w:space="0" w:color="auto"/>
            </w:tcBorders>
            <w:vAlign w:val="center"/>
            <w:hideMark/>
          </w:tcPr>
          <w:p w14:paraId="1F4EC4EC" w14:textId="77777777" w:rsidR="00D943CD" w:rsidRPr="00713B6C" w:rsidRDefault="00D943CD" w:rsidP="00D943CD">
            <w:pPr>
              <w:pStyle w:val="BodyText"/>
              <w:spacing w:before="40" w:after="40"/>
              <w:jc w:val="center"/>
              <w:rPr>
                <w:lang w:val="en-GB"/>
              </w:rPr>
            </w:pPr>
          </w:p>
        </w:tc>
        <w:tc>
          <w:tcPr>
            <w:tcW w:w="1013" w:type="dxa"/>
            <w:tcBorders>
              <w:top w:val="double" w:sz="4" w:space="0" w:color="auto"/>
            </w:tcBorders>
            <w:vAlign w:val="center"/>
            <w:hideMark/>
          </w:tcPr>
          <w:p w14:paraId="2BE54908" w14:textId="77777777" w:rsidR="00D943CD" w:rsidRPr="00713B6C" w:rsidRDefault="00D943CD" w:rsidP="00D943CD">
            <w:pPr>
              <w:pStyle w:val="BodyText"/>
              <w:spacing w:before="40" w:after="40"/>
              <w:jc w:val="center"/>
              <w:rPr>
                <w:lang w:val="en-GB"/>
              </w:rPr>
            </w:pPr>
          </w:p>
        </w:tc>
        <w:tc>
          <w:tcPr>
            <w:tcW w:w="1013" w:type="dxa"/>
            <w:tcBorders>
              <w:top w:val="double" w:sz="4" w:space="0" w:color="auto"/>
            </w:tcBorders>
            <w:vAlign w:val="center"/>
            <w:hideMark/>
          </w:tcPr>
          <w:p w14:paraId="162F93B2" w14:textId="77777777" w:rsidR="00D943CD" w:rsidRPr="00713B6C" w:rsidRDefault="00D943CD" w:rsidP="00D943CD">
            <w:pPr>
              <w:pStyle w:val="BodyText"/>
              <w:spacing w:before="40" w:after="40"/>
              <w:jc w:val="center"/>
              <w:rPr>
                <w:lang w:val="en-GB"/>
              </w:rPr>
            </w:pPr>
          </w:p>
        </w:tc>
      </w:tr>
      <w:tr w:rsidR="00D943CD" w:rsidRPr="00713B6C" w14:paraId="308B7F91" w14:textId="77777777" w:rsidTr="004F69A1">
        <w:trPr>
          <w:trHeight w:val="52"/>
        </w:trPr>
        <w:tc>
          <w:tcPr>
            <w:tcW w:w="1525" w:type="dxa"/>
            <w:tcBorders>
              <w:right w:val="double" w:sz="4" w:space="0" w:color="auto"/>
            </w:tcBorders>
            <w:vAlign w:val="center"/>
            <w:hideMark/>
          </w:tcPr>
          <w:p w14:paraId="5925719A" w14:textId="77777777" w:rsidR="00D943CD" w:rsidRPr="00713B6C" w:rsidRDefault="00D943CD" w:rsidP="00D943CD">
            <w:pPr>
              <w:pStyle w:val="BodyText"/>
              <w:spacing w:before="40" w:after="40"/>
              <w:jc w:val="center"/>
              <w:rPr>
                <w:lang w:val="en-US"/>
              </w:rPr>
            </w:pPr>
            <w:r w:rsidRPr="00713B6C">
              <w:rPr>
                <w:lang w:val="en-US"/>
              </w:rPr>
              <w:t>Estimate [OS]</w:t>
            </w:r>
          </w:p>
        </w:tc>
        <w:tc>
          <w:tcPr>
            <w:tcW w:w="1013" w:type="dxa"/>
            <w:tcBorders>
              <w:left w:val="double" w:sz="4" w:space="0" w:color="auto"/>
            </w:tcBorders>
            <w:vAlign w:val="bottom"/>
            <w:hideMark/>
          </w:tcPr>
          <w:p w14:paraId="0C84043B" w14:textId="42355756" w:rsidR="00D943CD" w:rsidRPr="00713B6C" w:rsidRDefault="00D943CD" w:rsidP="00D943CD">
            <w:pPr>
              <w:pStyle w:val="BodyText"/>
              <w:spacing w:before="40" w:after="40"/>
              <w:jc w:val="center"/>
              <w:rPr>
                <w:lang w:val="en-GB"/>
              </w:rPr>
            </w:pPr>
            <w:r w:rsidRPr="00D943CD">
              <w:rPr>
                <w:lang w:val="en-GB"/>
              </w:rPr>
              <w:t>9</w:t>
            </w:r>
          </w:p>
        </w:tc>
        <w:tc>
          <w:tcPr>
            <w:tcW w:w="1013" w:type="dxa"/>
            <w:vAlign w:val="bottom"/>
            <w:hideMark/>
          </w:tcPr>
          <w:p w14:paraId="3FA2F266" w14:textId="0E00D35F" w:rsidR="00D943CD" w:rsidRPr="00713B6C" w:rsidRDefault="00D943CD" w:rsidP="00D943CD">
            <w:pPr>
              <w:pStyle w:val="BodyText"/>
              <w:spacing w:before="40" w:after="40"/>
              <w:jc w:val="center"/>
              <w:rPr>
                <w:lang w:val="en-GB"/>
              </w:rPr>
            </w:pPr>
            <w:r w:rsidRPr="00D943CD">
              <w:rPr>
                <w:lang w:val="en-GB"/>
              </w:rPr>
              <w:t>14</w:t>
            </w:r>
          </w:p>
        </w:tc>
        <w:tc>
          <w:tcPr>
            <w:tcW w:w="1013" w:type="dxa"/>
            <w:vAlign w:val="bottom"/>
            <w:hideMark/>
          </w:tcPr>
          <w:p w14:paraId="6939F7E9" w14:textId="79A607CE" w:rsidR="00D943CD" w:rsidRPr="00713B6C" w:rsidRDefault="00D943CD" w:rsidP="00D943CD">
            <w:pPr>
              <w:pStyle w:val="BodyText"/>
              <w:spacing w:before="40" w:after="40"/>
              <w:jc w:val="center"/>
              <w:rPr>
                <w:lang w:val="en-GB"/>
              </w:rPr>
            </w:pPr>
            <w:r w:rsidRPr="00D943CD">
              <w:rPr>
                <w:lang w:val="en-GB"/>
              </w:rPr>
              <w:t>23</w:t>
            </w:r>
          </w:p>
        </w:tc>
        <w:tc>
          <w:tcPr>
            <w:tcW w:w="1013" w:type="dxa"/>
            <w:vAlign w:val="bottom"/>
            <w:hideMark/>
          </w:tcPr>
          <w:p w14:paraId="6FE8A312" w14:textId="4B7F6050" w:rsidR="00D943CD" w:rsidRPr="00713B6C" w:rsidRDefault="00D943CD" w:rsidP="00D943CD">
            <w:pPr>
              <w:pStyle w:val="BodyText"/>
              <w:spacing w:before="40" w:after="40"/>
              <w:jc w:val="center"/>
              <w:rPr>
                <w:lang w:val="en-GB"/>
              </w:rPr>
            </w:pPr>
            <w:r w:rsidRPr="00D943CD">
              <w:rPr>
                <w:lang w:val="en-GB"/>
              </w:rPr>
              <w:t>36</w:t>
            </w:r>
          </w:p>
        </w:tc>
        <w:tc>
          <w:tcPr>
            <w:tcW w:w="1013" w:type="dxa"/>
            <w:vAlign w:val="bottom"/>
            <w:hideMark/>
          </w:tcPr>
          <w:p w14:paraId="4AC4EC4A" w14:textId="135D1349" w:rsidR="00D943CD" w:rsidRPr="00713B6C" w:rsidRDefault="00D943CD" w:rsidP="00D943CD">
            <w:pPr>
              <w:pStyle w:val="BodyText"/>
              <w:spacing w:before="40" w:after="40"/>
              <w:jc w:val="center"/>
              <w:rPr>
                <w:lang w:val="en-GB"/>
              </w:rPr>
            </w:pPr>
            <w:r w:rsidRPr="00D943CD">
              <w:rPr>
                <w:lang w:val="en-GB"/>
              </w:rPr>
              <w:t>57</w:t>
            </w:r>
          </w:p>
        </w:tc>
        <w:tc>
          <w:tcPr>
            <w:tcW w:w="1013" w:type="dxa"/>
            <w:vAlign w:val="bottom"/>
            <w:hideMark/>
          </w:tcPr>
          <w:p w14:paraId="7FA9AB5F" w14:textId="0B783CEF" w:rsidR="00D943CD" w:rsidRPr="00713B6C" w:rsidRDefault="00D943CD" w:rsidP="00D943CD">
            <w:pPr>
              <w:pStyle w:val="BodyText"/>
              <w:spacing w:before="40" w:after="40"/>
              <w:jc w:val="center"/>
              <w:rPr>
                <w:lang w:val="en-GB"/>
              </w:rPr>
            </w:pPr>
            <w:r w:rsidRPr="00D943CD">
              <w:rPr>
                <w:lang w:val="en-GB"/>
              </w:rPr>
              <w:t>91</w:t>
            </w:r>
          </w:p>
        </w:tc>
        <w:tc>
          <w:tcPr>
            <w:tcW w:w="1013" w:type="dxa"/>
            <w:vAlign w:val="bottom"/>
            <w:hideMark/>
          </w:tcPr>
          <w:p w14:paraId="2B204935" w14:textId="3BA9CD20" w:rsidR="00D943CD" w:rsidRPr="00713B6C" w:rsidRDefault="00D943CD" w:rsidP="00D943CD">
            <w:pPr>
              <w:pStyle w:val="BodyText"/>
              <w:spacing w:before="40" w:after="40"/>
              <w:jc w:val="center"/>
              <w:rPr>
                <w:lang w:val="en-GB"/>
              </w:rPr>
            </w:pPr>
            <w:r w:rsidRPr="00D943CD">
              <w:rPr>
                <w:lang w:val="en-GB"/>
              </w:rPr>
              <w:t>144</w:t>
            </w:r>
          </w:p>
        </w:tc>
      </w:tr>
      <w:tr w:rsidR="00D943CD" w:rsidRPr="009A1793" w14:paraId="09174149" w14:textId="77777777" w:rsidTr="004F69A1">
        <w:trPr>
          <w:trHeight w:val="52"/>
        </w:trPr>
        <w:tc>
          <w:tcPr>
            <w:tcW w:w="1525" w:type="dxa"/>
            <w:tcBorders>
              <w:right w:val="double" w:sz="4" w:space="0" w:color="auto"/>
            </w:tcBorders>
            <w:vAlign w:val="center"/>
            <w:hideMark/>
          </w:tcPr>
          <w:p w14:paraId="72A99C17" w14:textId="77777777" w:rsidR="00D943CD" w:rsidRPr="009A1793" w:rsidRDefault="00D943CD" w:rsidP="00D943CD">
            <w:pPr>
              <w:pStyle w:val="BodyText"/>
              <w:spacing w:before="40" w:after="40"/>
              <w:jc w:val="center"/>
            </w:pPr>
            <w:r w:rsidRPr="009A1793">
              <w:t>Estimate [</w:t>
            </w:r>
            <w:r w:rsidRPr="009A1793">
              <w:rPr>
                <w:lang w:val="el-GR"/>
              </w:rPr>
              <w:t>μ</w:t>
            </w:r>
            <w:r w:rsidRPr="009A1793">
              <w:t>s]</w:t>
            </w:r>
          </w:p>
        </w:tc>
        <w:tc>
          <w:tcPr>
            <w:tcW w:w="1013" w:type="dxa"/>
            <w:tcBorders>
              <w:left w:val="double" w:sz="4" w:space="0" w:color="auto"/>
            </w:tcBorders>
            <w:vAlign w:val="bottom"/>
            <w:hideMark/>
          </w:tcPr>
          <w:p w14:paraId="6FD603F5" w14:textId="5D888635" w:rsidR="00D943CD" w:rsidRPr="009A1793" w:rsidRDefault="00D943CD" w:rsidP="00D943CD">
            <w:pPr>
              <w:pStyle w:val="BodyText"/>
              <w:spacing w:before="40" w:after="40"/>
              <w:jc w:val="center"/>
              <w:rPr>
                <w:lang w:val="en-GB"/>
              </w:rPr>
            </w:pPr>
            <w:r w:rsidRPr="00D943CD">
              <w:rPr>
                <w:lang w:val="en-GB"/>
              </w:rPr>
              <w:t>643</w:t>
            </w:r>
          </w:p>
        </w:tc>
        <w:tc>
          <w:tcPr>
            <w:tcW w:w="1013" w:type="dxa"/>
            <w:vAlign w:val="bottom"/>
            <w:hideMark/>
          </w:tcPr>
          <w:p w14:paraId="0062B389" w14:textId="40EFF093" w:rsidR="00D943CD" w:rsidRPr="009A1793" w:rsidRDefault="00D943CD" w:rsidP="00D943CD">
            <w:pPr>
              <w:pStyle w:val="BodyText"/>
              <w:spacing w:before="40" w:after="40"/>
              <w:jc w:val="center"/>
              <w:rPr>
                <w:lang w:val="en-GB"/>
              </w:rPr>
            </w:pPr>
            <w:r w:rsidRPr="00D943CD">
              <w:rPr>
                <w:lang w:val="en-GB"/>
              </w:rPr>
              <w:t>510</w:t>
            </w:r>
          </w:p>
        </w:tc>
        <w:tc>
          <w:tcPr>
            <w:tcW w:w="1013" w:type="dxa"/>
            <w:vAlign w:val="bottom"/>
            <w:hideMark/>
          </w:tcPr>
          <w:p w14:paraId="658E470A" w14:textId="5550C278" w:rsidR="00D943CD" w:rsidRPr="009A1793" w:rsidRDefault="00D943CD" w:rsidP="00D943CD">
            <w:pPr>
              <w:pStyle w:val="BodyText"/>
              <w:spacing w:before="40" w:after="40"/>
              <w:jc w:val="center"/>
              <w:rPr>
                <w:lang w:val="en-GB"/>
              </w:rPr>
            </w:pPr>
            <w:r w:rsidRPr="00D943CD">
              <w:rPr>
                <w:lang w:val="en-GB"/>
              </w:rPr>
              <w:t>405</w:t>
            </w:r>
          </w:p>
        </w:tc>
        <w:tc>
          <w:tcPr>
            <w:tcW w:w="1013" w:type="dxa"/>
            <w:vAlign w:val="bottom"/>
            <w:hideMark/>
          </w:tcPr>
          <w:p w14:paraId="1E483449" w14:textId="64E14C5A" w:rsidR="00D943CD" w:rsidRPr="009A1793" w:rsidRDefault="00D943CD" w:rsidP="00D943CD">
            <w:pPr>
              <w:pStyle w:val="BodyText"/>
              <w:spacing w:before="40" w:after="40"/>
              <w:jc w:val="center"/>
              <w:rPr>
                <w:lang w:val="en-GB"/>
              </w:rPr>
            </w:pPr>
            <w:r w:rsidRPr="00D943CD">
              <w:rPr>
                <w:lang w:val="en-GB"/>
              </w:rPr>
              <w:t>321</w:t>
            </w:r>
          </w:p>
        </w:tc>
        <w:tc>
          <w:tcPr>
            <w:tcW w:w="1013" w:type="dxa"/>
            <w:vAlign w:val="bottom"/>
            <w:hideMark/>
          </w:tcPr>
          <w:p w14:paraId="530A9ABA" w14:textId="1F680A8A" w:rsidR="00D943CD" w:rsidRPr="009A1793" w:rsidRDefault="00D943CD" w:rsidP="00D943CD">
            <w:pPr>
              <w:pStyle w:val="BodyText"/>
              <w:spacing w:before="40" w:after="40"/>
              <w:jc w:val="center"/>
              <w:rPr>
                <w:lang w:val="en-GB"/>
              </w:rPr>
            </w:pPr>
            <w:r w:rsidRPr="00D943CD">
              <w:rPr>
                <w:lang w:val="en-GB"/>
              </w:rPr>
              <w:t>255</w:t>
            </w:r>
          </w:p>
        </w:tc>
        <w:tc>
          <w:tcPr>
            <w:tcW w:w="1013" w:type="dxa"/>
            <w:vAlign w:val="bottom"/>
            <w:hideMark/>
          </w:tcPr>
          <w:p w14:paraId="58DEB2FA" w14:textId="5CE3D97E" w:rsidR="00D943CD" w:rsidRPr="009A1793" w:rsidRDefault="00D943CD" w:rsidP="00D943CD">
            <w:pPr>
              <w:pStyle w:val="BodyText"/>
              <w:spacing w:before="40" w:after="40"/>
              <w:jc w:val="center"/>
              <w:rPr>
                <w:lang w:val="en-GB"/>
              </w:rPr>
            </w:pPr>
            <w:r w:rsidRPr="00D943CD">
              <w:rPr>
                <w:lang w:val="en-GB"/>
              </w:rPr>
              <w:t>202</w:t>
            </w:r>
          </w:p>
        </w:tc>
        <w:tc>
          <w:tcPr>
            <w:tcW w:w="1013" w:type="dxa"/>
            <w:vAlign w:val="bottom"/>
            <w:hideMark/>
          </w:tcPr>
          <w:p w14:paraId="7284FFC0" w14:textId="39EC18AC" w:rsidR="00D943CD" w:rsidRPr="009A1793" w:rsidRDefault="00D943CD" w:rsidP="00D943CD">
            <w:pPr>
              <w:pStyle w:val="BodyText"/>
              <w:spacing w:before="40" w:after="40"/>
              <w:jc w:val="center"/>
              <w:rPr>
                <w:lang w:val="en-GB"/>
              </w:rPr>
            </w:pPr>
            <w:r w:rsidRPr="00D943CD">
              <w:rPr>
                <w:lang w:val="en-GB"/>
              </w:rPr>
              <w:t>161</w:t>
            </w:r>
          </w:p>
        </w:tc>
      </w:tr>
    </w:tbl>
    <w:p w14:paraId="7F89B875" w14:textId="77777777" w:rsidR="002E4F7C" w:rsidRDefault="002E4F7C" w:rsidP="001E55EE">
      <w:pPr>
        <w:pStyle w:val="BodyText"/>
      </w:pPr>
    </w:p>
    <w:p w14:paraId="68605F56" w14:textId="77777777" w:rsidR="00AB7AC0" w:rsidRPr="00067903" w:rsidRDefault="00AB7AC0" w:rsidP="00AB7AC0">
      <w:pPr>
        <w:pStyle w:val="BodyText"/>
      </w:pPr>
      <w:r>
        <w:t xml:space="preserve">Similar issues are observed for the CSI computation time. The </w:t>
      </w:r>
      <w:r w:rsidRPr="00067903">
        <w:t xml:space="preserve">values of </w:t>
      </w:r>
      <w:r w:rsidRPr="00067903">
        <w:rPr>
          <w:i/>
        </w:rPr>
        <w:t>Z</w:t>
      </w:r>
      <w:r>
        <w:rPr>
          <w:i/>
          <w:vertAlign w:val="subscript"/>
        </w:rPr>
        <w:t>1</w:t>
      </w:r>
      <w:r w:rsidRPr="00486691">
        <w:rPr>
          <w:i/>
        </w:rPr>
        <w:t>,</w:t>
      </w:r>
      <w:r>
        <w:rPr>
          <w:i/>
          <w:vertAlign w:val="subscript"/>
        </w:rPr>
        <w:t xml:space="preserve"> </w:t>
      </w:r>
      <w:r w:rsidRPr="00067903">
        <w:rPr>
          <w:i/>
        </w:rPr>
        <w:t>Z</w:t>
      </w:r>
      <w:r>
        <w:rPr>
          <w:i/>
          <w:vertAlign w:val="subscript"/>
        </w:rPr>
        <w:t>2</w:t>
      </w:r>
      <w:r w:rsidRPr="00486691">
        <w:rPr>
          <w:i/>
        </w:rPr>
        <w:t>,</w:t>
      </w:r>
      <w:r>
        <w:rPr>
          <w:i/>
          <w:vertAlign w:val="subscript"/>
        </w:rPr>
        <w:t xml:space="preserve"> </w:t>
      </w:r>
      <w:r w:rsidRPr="00486691">
        <w:t>and</w:t>
      </w:r>
      <w:r>
        <w:rPr>
          <w:i/>
          <w:vertAlign w:val="subscript"/>
        </w:rPr>
        <w:t xml:space="preserve"> </w:t>
      </w:r>
      <w:r w:rsidRPr="00067903">
        <w:rPr>
          <w:i/>
        </w:rPr>
        <w:t>Z</w:t>
      </w:r>
      <w:r>
        <w:rPr>
          <w:i/>
          <w:vertAlign w:val="subscript"/>
        </w:rPr>
        <w:t>3</w:t>
      </w:r>
      <w:r>
        <w:t xml:space="preserve"> as defined in clause 5.4 of 38.214 grow exponentially with the numerology.  </w:t>
      </w:r>
    </w:p>
    <w:p w14:paraId="543661A6" w14:textId="77777777" w:rsidR="00AB7AC0" w:rsidRPr="006C0CE8" w:rsidRDefault="00AB7AC0" w:rsidP="00AB7AC0">
      <w:pPr>
        <w:pStyle w:val="TH"/>
        <w:rPr>
          <w:lang w:eastAsia="en-US"/>
        </w:rPr>
      </w:pPr>
      <w:r w:rsidRPr="006C0CE8">
        <w:t>Table 5.4-1: CSI computation delay</w:t>
      </w:r>
      <w:r w:rsidRPr="006C0CE8">
        <w:rPr>
          <w:lang w:val="en-GB"/>
        </w:rPr>
        <w:t xml:space="preserve"> 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AB7AC0" w:rsidRPr="009A799B" w14:paraId="70283ED9" w14:textId="77777777" w:rsidTr="00AB7AC0">
        <w:trPr>
          <w:jc w:val="center"/>
        </w:trPr>
        <w:tc>
          <w:tcPr>
            <w:tcW w:w="710" w:type="dxa"/>
            <w:vMerge w:val="restart"/>
            <w:tcBorders>
              <w:top w:val="single" w:sz="4" w:space="0" w:color="auto"/>
              <w:left w:val="single" w:sz="4" w:space="0" w:color="auto"/>
              <w:bottom w:val="single" w:sz="4" w:space="0" w:color="auto"/>
              <w:right w:val="single" w:sz="4" w:space="0" w:color="auto"/>
            </w:tcBorders>
            <w:vAlign w:val="center"/>
            <w:hideMark/>
          </w:tcPr>
          <w:p w14:paraId="454CFD5D"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position w:val="-10"/>
                <w:lang w:val="en-GB"/>
              </w:rPr>
              <w:object w:dxaOrig="310" w:dyaOrig="310" w14:anchorId="36957747">
                <v:shape id="_x0000_i1029" type="#_x0000_t75" style="width:15.75pt;height:15.75pt" o:ole="">
                  <v:imagedata r:id="rId55" o:title=""/>
                </v:shape>
                <o:OLEObject Type="Embed" ProgID="Equation.DSMT4" ShapeID="_x0000_i1029" DrawAspect="Content" ObjectID="_1664389063" r:id="rId56"/>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35A0AD61" w14:textId="77777777" w:rsidR="00AB7AC0" w:rsidRPr="006C0CE8" w:rsidRDefault="00AB7AC0" w:rsidP="00AB7AC0">
            <w:pPr>
              <w:pStyle w:val="TAH"/>
              <w:spacing w:line="256" w:lineRule="auto"/>
              <w:rPr>
                <w:rFonts w:eastAsia="Batang"/>
                <w:i/>
                <w:color w:val="000000"/>
                <w:lang w:val="en-GB"/>
              </w:rPr>
            </w:pPr>
            <w:r w:rsidRPr="006C0CE8">
              <w:rPr>
                <w:rFonts w:eastAsia="Batang"/>
                <w:i/>
                <w:color w:val="000000"/>
                <w:lang w:val="en-GB"/>
              </w:rPr>
              <w:t>Z</w:t>
            </w:r>
            <w:r w:rsidRPr="006C0CE8">
              <w:rPr>
                <w:rFonts w:eastAsia="Batang"/>
                <w:i/>
                <w:color w:val="000000"/>
                <w:vertAlign w:val="subscript"/>
                <w:lang w:val="en-GB"/>
              </w:rPr>
              <w:t>1</w:t>
            </w:r>
            <w:r w:rsidRPr="006C0CE8">
              <w:rPr>
                <w:rFonts w:eastAsia="Batang"/>
                <w:color w:val="000000"/>
                <w:lang w:val="en-GB"/>
              </w:rPr>
              <w:t xml:space="preserve"> [symbols]</w:t>
            </w:r>
          </w:p>
        </w:tc>
      </w:tr>
      <w:tr w:rsidR="00AB7AC0" w:rsidRPr="009A799B" w14:paraId="315EF192" w14:textId="77777777" w:rsidTr="00AB7AC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FFF827" w14:textId="77777777" w:rsidR="00AB7AC0" w:rsidRPr="003C2819" w:rsidRDefault="00AB7AC0" w:rsidP="00AB7AC0">
            <w:pPr>
              <w:spacing w:after="0" w:line="256" w:lineRule="auto"/>
              <w:rPr>
                <w:rFonts w:ascii="Arial" w:eastAsia="Batang" w:hAnsi="Arial"/>
                <w:color w:val="000000"/>
                <w:sz w:val="18"/>
                <w:lang w:val="en-GB"/>
              </w:rPr>
            </w:pPr>
          </w:p>
        </w:tc>
        <w:tc>
          <w:tcPr>
            <w:tcW w:w="2117" w:type="dxa"/>
            <w:tcBorders>
              <w:top w:val="single" w:sz="4" w:space="0" w:color="auto"/>
              <w:left w:val="single" w:sz="4" w:space="0" w:color="auto"/>
              <w:bottom w:val="single" w:sz="4" w:space="0" w:color="auto"/>
              <w:right w:val="single" w:sz="4" w:space="0" w:color="auto"/>
            </w:tcBorders>
            <w:hideMark/>
          </w:tcPr>
          <w:p w14:paraId="40DFCA9B" w14:textId="77777777" w:rsidR="00AB7AC0" w:rsidRPr="003C2819" w:rsidRDefault="00AB7AC0" w:rsidP="00AB7AC0">
            <w:pPr>
              <w:pStyle w:val="TAC"/>
              <w:spacing w:line="256" w:lineRule="auto"/>
              <w:rPr>
                <w:rFonts w:eastAsia="Batang"/>
                <w:color w:val="000000"/>
                <w:lang w:val="en-GB"/>
              </w:rPr>
            </w:pPr>
            <w:r w:rsidRPr="003C2819">
              <w:rPr>
                <w:i/>
                <w:color w:val="000000"/>
                <w:lang w:val="en-GB"/>
              </w:rPr>
              <w:t>Z</w:t>
            </w:r>
            <w:r w:rsidRPr="003C2819">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hideMark/>
          </w:tcPr>
          <w:p w14:paraId="646C7F5D" w14:textId="77777777" w:rsidR="00AB7AC0" w:rsidRPr="003C2819" w:rsidRDefault="00AB7AC0" w:rsidP="00AB7AC0">
            <w:pPr>
              <w:pStyle w:val="TAC"/>
              <w:spacing w:line="256" w:lineRule="auto"/>
              <w:rPr>
                <w:rFonts w:eastAsia="Batang"/>
                <w:color w:val="000000"/>
                <w:lang w:val="en-GB"/>
              </w:rPr>
            </w:pPr>
            <w:r w:rsidRPr="003C2819">
              <w:rPr>
                <w:i/>
                <w:color w:val="000000"/>
                <w:lang w:val="en-GB"/>
              </w:rPr>
              <w:t>Z'</w:t>
            </w:r>
            <w:r w:rsidRPr="003C2819">
              <w:rPr>
                <w:i/>
                <w:color w:val="000000"/>
                <w:vertAlign w:val="subscript"/>
                <w:lang w:val="en-GB"/>
              </w:rPr>
              <w:t>1</w:t>
            </w:r>
          </w:p>
        </w:tc>
      </w:tr>
      <w:tr w:rsidR="00AB7AC0" w:rsidRPr="009A799B" w14:paraId="397F63AD" w14:textId="77777777" w:rsidTr="00AB7AC0">
        <w:trPr>
          <w:jc w:val="center"/>
        </w:trPr>
        <w:tc>
          <w:tcPr>
            <w:tcW w:w="710" w:type="dxa"/>
            <w:tcBorders>
              <w:top w:val="single" w:sz="4" w:space="0" w:color="auto"/>
              <w:left w:val="single" w:sz="4" w:space="0" w:color="auto"/>
              <w:bottom w:val="single" w:sz="4" w:space="0" w:color="auto"/>
              <w:right w:val="single" w:sz="4" w:space="0" w:color="auto"/>
            </w:tcBorders>
            <w:hideMark/>
          </w:tcPr>
          <w:p w14:paraId="22663F43"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lastRenderedPageBreak/>
              <w:t>0</w:t>
            </w:r>
          </w:p>
        </w:tc>
        <w:tc>
          <w:tcPr>
            <w:tcW w:w="2117" w:type="dxa"/>
            <w:tcBorders>
              <w:top w:val="single" w:sz="4" w:space="0" w:color="auto"/>
              <w:left w:val="single" w:sz="4" w:space="0" w:color="auto"/>
              <w:bottom w:val="single" w:sz="4" w:space="0" w:color="auto"/>
              <w:right w:val="single" w:sz="4" w:space="0" w:color="auto"/>
            </w:tcBorders>
            <w:hideMark/>
          </w:tcPr>
          <w:p w14:paraId="4795C348"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hideMark/>
          </w:tcPr>
          <w:p w14:paraId="5771881B"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8</w:t>
            </w:r>
          </w:p>
        </w:tc>
      </w:tr>
      <w:tr w:rsidR="00AB7AC0" w:rsidRPr="009A799B" w14:paraId="7DF7D3B4" w14:textId="77777777" w:rsidTr="00AB7AC0">
        <w:trPr>
          <w:jc w:val="center"/>
        </w:trPr>
        <w:tc>
          <w:tcPr>
            <w:tcW w:w="710" w:type="dxa"/>
            <w:tcBorders>
              <w:top w:val="single" w:sz="4" w:space="0" w:color="auto"/>
              <w:left w:val="single" w:sz="4" w:space="0" w:color="auto"/>
              <w:bottom w:val="single" w:sz="4" w:space="0" w:color="auto"/>
              <w:right w:val="single" w:sz="4" w:space="0" w:color="auto"/>
            </w:tcBorders>
            <w:hideMark/>
          </w:tcPr>
          <w:p w14:paraId="671FC4F4"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hideMark/>
          </w:tcPr>
          <w:p w14:paraId="48D3AE11"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hideMark/>
          </w:tcPr>
          <w:p w14:paraId="7BC98B74"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11</w:t>
            </w:r>
          </w:p>
        </w:tc>
      </w:tr>
      <w:tr w:rsidR="00AB7AC0" w:rsidRPr="009A799B" w14:paraId="05974C7B" w14:textId="77777777" w:rsidTr="00AB7AC0">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27819641"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hideMark/>
          </w:tcPr>
          <w:p w14:paraId="316E0AD0"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hideMark/>
          </w:tcPr>
          <w:p w14:paraId="65A1A72D"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21</w:t>
            </w:r>
          </w:p>
        </w:tc>
      </w:tr>
      <w:tr w:rsidR="00AB7AC0" w:rsidRPr="009A799B" w14:paraId="40C2CAA4" w14:textId="77777777" w:rsidTr="00AB7AC0">
        <w:trPr>
          <w:jc w:val="center"/>
        </w:trPr>
        <w:tc>
          <w:tcPr>
            <w:tcW w:w="710" w:type="dxa"/>
            <w:tcBorders>
              <w:top w:val="single" w:sz="4" w:space="0" w:color="auto"/>
              <w:left w:val="single" w:sz="4" w:space="0" w:color="auto"/>
              <w:bottom w:val="single" w:sz="4" w:space="0" w:color="auto"/>
              <w:right w:val="single" w:sz="4" w:space="0" w:color="auto"/>
            </w:tcBorders>
            <w:hideMark/>
          </w:tcPr>
          <w:p w14:paraId="185DCA13"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hideMark/>
          </w:tcPr>
          <w:p w14:paraId="611E0800"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hideMark/>
          </w:tcPr>
          <w:p w14:paraId="5825E4AE"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36</w:t>
            </w:r>
          </w:p>
        </w:tc>
      </w:tr>
    </w:tbl>
    <w:p w14:paraId="0BE4D0D8" w14:textId="77777777" w:rsidR="00AB7AC0" w:rsidRPr="006C0CE8" w:rsidRDefault="00AB7AC0" w:rsidP="00AB7AC0">
      <w:pPr>
        <w:rPr>
          <w:lang w:val="en-GB"/>
        </w:rPr>
      </w:pPr>
    </w:p>
    <w:p w14:paraId="642CAB15" w14:textId="77777777" w:rsidR="00AB7AC0" w:rsidRPr="006C0CE8" w:rsidRDefault="00AB7AC0" w:rsidP="00AB7AC0">
      <w:pPr>
        <w:pStyle w:val="TH"/>
        <w:rPr>
          <w:lang w:val="en-GB"/>
        </w:rPr>
      </w:pPr>
      <w:r w:rsidRPr="006C0CE8">
        <w:t>Table 5.4-2: CSI computation delay</w:t>
      </w:r>
      <w:r w:rsidRPr="006C0CE8">
        <w:rPr>
          <w:lang w:val="en-GB"/>
        </w:rPr>
        <w:t xml:space="preserve"> 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1251"/>
        <w:gridCol w:w="1194"/>
        <w:gridCol w:w="1273"/>
        <w:gridCol w:w="1493"/>
        <w:gridCol w:w="1784"/>
        <w:gridCol w:w="2039"/>
      </w:tblGrid>
      <w:tr w:rsidR="00AB7AC0" w:rsidRPr="009A799B" w14:paraId="66D37CA1" w14:textId="77777777" w:rsidTr="00AB7AC0">
        <w:trPr>
          <w:jc w:val="center"/>
        </w:trPr>
        <w:tc>
          <w:tcPr>
            <w:tcW w:w="596" w:type="dxa"/>
            <w:vMerge w:val="restart"/>
            <w:tcBorders>
              <w:top w:val="single" w:sz="4" w:space="0" w:color="auto"/>
              <w:left w:val="single" w:sz="4" w:space="0" w:color="auto"/>
              <w:bottom w:val="single" w:sz="4" w:space="0" w:color="auto"/>
              <w:right w:val="single" w:sz="4" w:space="0" w:color="auto"/>
            </w:tcBorders>
            <w:vAlign w:val="center"/>
            <w:hideMark/>
          </w:tcPr>
          <w:p w14:paraId="20AC42CF"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position w:val="-10"/>
                <w:lang w:val="en-GB"/>
              </w:rPr>
              <w:object w:dxaOrig="310" w:dyaOrig="310" w14:anchorId="1F0D9D83">
                <v:shape id="_x0000_i1030" type="#_x0000_t75" style="width:15.75pt;height:15.75pt" o:ole="">
                  <v:imagedata r:id="rId55" o:title=""/>
                </v:shape>
                <o:OLEObject Type="Embed" ProgID="Equation.DSMT4" ShapeID="_x0000_i1030" DrawAspect="Content" ObjectID="_1664389064" r:id="rId57"/>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0B8BD48C" w14:textId="77777777" w:rsidR="00AB7AC0" w:rsidRPr="006C0CE8" w:rsidRDefault="00AB7AC0" w:rsidP="00AB7AC0">
            <w:pPr>
              <w:pStyle w:val="TAH"/>
              <w:spacing w:line="256" w:lineRule="auto"/>
              <w:rPr>
                <w:rFonts w:eastAsia="Batang"/>
                <w:i/>
                <w:color w:val="000000"/>
                <w:lang w:val="en-GB"/>
              </w:rPr>
            </w:pPr>
            <w:r w:rsidRPr="006C0CE8">
              <w:rPr>
                <w:rFonts w:eastAsia="Batang"/>
                <w:i/>
                <w:color w:val="000000"/>
                <w:lang w:val="en-GB"/>
              </w:rPr>
              <w:t>Z</w:t>
            </w:r>
            <w:r w:rsidRPr="006C0CE8">
              <w:rPr>
                <w:rFonts w:eastAsia="Batang"/>
                <w:i/>
                <w:color w:val="000000"/>
                <w:vertAlign w:val="subscript"/>
                <w:lang w:val="en-GB"/>
              </w:rPr>
              <w:t>1</w:t>
            </w:r>
            <w:r w:rsidRPr="006C0CE8">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hideMark/>
          </w:tcPr>
          <w:p w14:paraId="0E65AE11" w14:textId="77777777" w:rsidR="00AB7AC0" w:rsidRPr="006C0CE8" w:rsidRDefault="00AB7AC0" w:rsidP="00AB7AC0">
            <w:pPr>
              <w:pStyle w:val="TAH"/>
              <w:spacing w:line="256" w:lineRule="auto"/>
              <w:rPr>
                <w:rFonts w:eastAsia="Batang"/>
                <w:i/>
                <w:color w:val="000000"/>
                <w:lang w:val="en-GB"/>
              </w:rPr>
            </w:pPr>
            <w:r w:rsidRPr="006C0CE8">
              <w:rPr>
                <w:rFonts w:eastAsia="Batang"/>
                <w:i/>
                <w:color w:val="000000"/>
                <w:lang w:val="en-GB"/>
              </w:rPr>
              <w:t>Z</w:t>
            </w:r>
            <w:r w:rsidRPr="006C0CE8">
              <w:rPr>
                <w:rFonts w:eastAsia="Batang"/>
                <w:i/>
                <w:color w:val="000000"/>
                <w:vertAlign w:val="subscript"/>
                <w:lang w:val="en-GB"/>
              </w:rPr>
              <w:t>2</w:t>
            </w:r>
            <w:r w:rsidRPr="006C0CE8">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hideMark/>
          </w:tcPr>
          <w:p w14:paraId="6DD38648" w14:textId="77777777" w:rsidR="00AB7AC0" w:rsidRPr="006C0CE8" w:rsidRDefault="00AB7AC0" w:rsidP="00AB7AC0">
            <w:pPr>
              <w:pStyle w:val="TAH"/>
              <w:spacing w:line="256" w:lineRule="auto"/>
              <w:rPr>
                <w:rFonts w:eastAsia="Batang"/>
                <w:i/>
                <w:color w:val="000000"/>
                <w:lang w:val="en-GB"/>
              </w:rPr>
            </w:pPr>
            <w:r w:rsidRPr="006C0CE8">
              <w:rPr>
                <w:rFonts w:eastAsia="Batang"/>
                <w:i/>
                <w:color w:val="000000"/>
                <w:lang w:val="en-GB"/>
              </w:rPr>
              <w:t>Z</w:t>
            </w:r>
            <w:r w:rsidRPr="006C0CE8">
              <w:rPr>
                <w:rFonts w:eastAsia="Batang"/>
                <w:i/>
                <w:color w:val="000000"/>
                <w:vertAlign w:val="subscript"/>
                <w:lang w:val="en-GB"/>
              </w:rPr>
              <w:t>3</w:t>
            </w:r>
            <w:r w:rsidRPr="006C0CE8">
              <w:rPr>
                <w:rFonts w:eastAsia="Batang"/>
                <w:color w:val="000000"/>
                <w:lang w:val="en-GB"/>
              </w:rPr>
              <w:t xml:space="preserve"> [symbols]</w:t>
            </w:r>
          </w:p>
        </w:tc>
      </w:tr>
      <w:tr w:rsidR="00AB7AC0" w:rsidRPr="009A799B" w14:paraId="5D88AAA6" w14:textId="77777777" w:rsidTr="00AB7AC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610BB9" w14:textId="77777777" w:rsidR="00AB7AC0" w:rsidRPr="003C2819" w:rsidRDefault="00AB7AC0" w:rsidP="00AB7AC0">
            <w:pPr>
              <w:spacing w:after="0" w:line="256" w:lineRule="auto"/>
              <w:rPr>
                <w:rFonts w:ascii="Arial" w:eastAsia="Batang" w:hAnsi="Arial"/>
                <w:color w:val="000000"/>
                <w:sz w:val="18"/>
                <w:lang w:val="en-GB"/>
              </w:rPr>
            </w:pPr>
          </w:p>
        </w:tc>
        <w:tc>
          <w:tcPr>
            <w:tcW w:w="1251" w:type="dxa"/>
            <w:tcBorders>
              <w:top w:val="single" w:sz="4" w:space="0" w:color="auto"/>
              <w:left w:val="single" w:sz="4" w:space="0" w:color="auto"/>
              <w:bottom w:val="single" w:sz="4" w:space="0" w:color="auto"/>
              <w:right w:val="single" w:sz="4" w:space="0" w:color="auto"/>
            </w:tcBorders>
            <w:hideMark/>
          </w:tcPr>
          <w:p w14:paraId="580B8CE0" w14:textId="77777777" w:rsidR="00AB7AC0" w:rsidRPr="003C2819" w:rsidRDefault="00AB7AC0" w:rsidP="00AB7AC0">
            <w:pPr>
              <w:pStyle w:val="TAC"/>
              <w:spacing w:line="256" w:lineRule="auto"/>
              <w:rPr>
                <w:rFonts w:eastAsia="Batang"/>
                <w:color w:val="000000"/>
                <w:lang w:val="en-GB"/>
              </w:rPr>
            </w:pPr>
            <w:r w:rsidRPr="003C2819">
              <w:rPr>
                <w:i/>
                <w:color w:val="000000"/>
                <w:lang w:val="en-GB"/>
              </w:rPr>
              <w:t>Z</w:t>
            </w:r>
            <w:r w:rsidRPr="003C2819">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hideMark/>
          </w:tcPr>
          <w:p w14:paraId="4E2850F4" w14:textId="77777777" w:rsidR="00AB7AC0" w:rsidRPr="003C2819" w:rsidRDefault="00AB7AC0" w:rsidP="00AB7AC0">
            <w:pPr>
              <w:pStyle w:val="TAC"/>
              <w:spacing w:line="256" w:lineRule="auto"/>
              <w:rPr>
                <w:rFonts w:eastAsia="Batang"/>
                <w:color w:val="000000"/>
                <w:lang w:val="en-GB"/>
              </w:rPr>
            </w:pPr>
            <w:r w:rsidRPr="003C2819">
              <w:rPr>
                <w:i/>
                <w:color w:val="000000"/>
                <w:lang w:val="en-GB"/>
              </w:rPr>
              <w:t>Z'</w:t>
            </w:r>
            <w:r w:rsidRPr="003C2819">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hideMark/>
          </w:tcPr>
          <w:p w14:paraId="7BB689D6" w14:textId="77777777" w:rsidR="00AB7AC0" w:rsidRPr="003C2819" w:rsidRDefault="00AB7AC0" w:rsidP="00AB7AC0">
            <w:pPr>
              <w:pStyle w:val="TAC"/>
              <w:spacing w:line="256" w:lineRule="auto"/>
              <w:rPr>
                <w:rFonts w:eastAsia="Batang"/>
                <w:color w:val="000000"/>
                <w:lang w:val="en-GB"/>
              </w:rPr>
            </w:pPr>
            <w:r w:rsidRPr="003C2819">
              <w:rPr>
                <w:i/>
                <w:color w:val="000000"/>
                <w:lang w:val="en-GB"/>
              </w:rPr>
              <w:t>Z</w:t>
            </w:r>
            <w:r w:rsidRPr="003C2819">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hideMark/>
          </w:tcPr>
          <w:p w14:paraId="24D2D7D8" w14:textId="77777777" w:rsidR="00AB7AC0" w:rsidRPr="003C2819" w:rsidRDefault="00AB7AC0" w:rsidP="00AB7AC0">
            <w:pPr>
              <w:pStyle w:val="TAC"/>
              <w:spacing w:line="256" w:lineRule="auto"/>
              <w:rPr>
                <w:rFonts w:eastAsia="Batang"/>
                <w:color w:val="000000"/>
                <w:lang w:val="en-GB"/>
              </w:rPr>
            </w:pPr>
            <w:r w:rsidRPr="003C2819">
              <w:rPr>
                <w:i/>
                <w:color w:val="000000"/>
                <w:lang w:val="en-GB"/>
              </w:rPr>
              <w:t>Z'</w:t>
            </w:r>
            <w:r w:rsidRPr="003C2819">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hideMark/>
          </w:tcPr>
          <w:p w14:paraId="47AF521C" w14:textId="77777777" w:rsidR="00AB7AC0" w:rsidRPr="003C2819" w:rsidRDefault="00AB7AC0" w:rsidP="00AB7AC0">
            <w:pPr>
              <w:pStyle w:val="TAC"/>
              <w:spacing w:line="256" w:lineRule="auto"/>
              <w:rPr>
                <w:i/>
                <w:color w:val="000000"/>
                <w:lang w:val="en-GB"/>
              </w:rPr>
            </w:pPr>
            <w:r w:rsidRPr="003C2819">
              <w:rPr>
                <w:i/>
                <w:color w:val="000000"/>
                <w:lang w:eastAsia="en-GB"/>
              </w:rPr>
              <w:t>Z</w:t>
            </w:r>
            <w:r w:rsidRPr="003C2819">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hideMark/>
          </w:tcPr>
          <w:p w14:paraId="2BEDD171" w14:textId="77777777" w:rsidR="00AB7AC0" w:rsidRPr="003C2819" w:rsidRDefault="00AB7AC0" w:rsidP="00AB7AC0">
            <w:pPr>
              <w:pStyle w:val="TAC"/>
              <w:spacing w:line="256" w:lineRule="auto"/>
              <w:rPr>
                <w:i/>
                <w:color w:val="000000"/>
                <w:lang w:val="en-GB"/>
              </w:rPr>
            </w:pPr>
            <w:r w:rsidRPr="003C2819">
              <w:rPr>
                <w:i/>
                <w:color w:val="000000"/>
                <w:lang w:eastAsia="en-GB"/>
              </w:rPr>
              <w:t>Z'</w:t>
            </w:r>
            <w:r w:rsidRPr="003C2819">
              <w:rPr>
                <w:i/>
                <w:color w:val="000000"/>
                <w:vertAlign w:val="subscript"/>
                <w:lang w:val="en-US" w:eastAsia="en-GB"/>
              </w:rPr>
              <w:t>3</w:t>
            </w:r>
          </w:p>
        </w:tc>
      </w:tr>
      <w:tr w:rsidR="00AB7AC0" w:rsidRPr="009A799B" w14:paraId="2C55C316" w14:textId="77777777" w:rsidTr="00AB7AC0">
        <w:trPr>
          <w:jc w:val="center"/>
        </w:trPr>
        <w:tc>
          <w:tcPr>
            <w:tcW w:w="596" w:type="dxa"/>
            <w:tcBorders>
              <w:top w:val="single" w:sz="4" w:space="0" w:color="auto"/>
              <w:left w:val="single" w:sz="4" w:space="0" w:color="auto"/>
              <w:bottom w:val="single" w:sz="4" w:space="0" w:color="auto"/>
              <w:right w:val="single" w:sz="4" w:space="0" w:color="auto"/>
            </w:tcBorders>
            <w:hideMark/>
          </w:tcPr>
          <w:p w14:paraId="5F0790E6"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hideMark/>
          </w:tcPr>
          <w:p w14:paraId="404EA54A"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hideMark/>
          </w:tcPr>
          <w:p w14:paraId="2427EAA4"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hideMark/>
          </w:tcPr>
          <w:p w14:paraId="2A61587E"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hideMark/>
          </w:tcPr>
          <w:p w14:paraId="738C951D"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hideMark/>
          </w:tcPr>
          <w:p w14:paraId="73417457"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hideMark/>
          </w:tcPr>
          <w:p w14:paraId="311922B8" w14:textId="77777777" w:rsidR="00AB7AC0" w:rsidRPr="006C0CE8" w:rsidRDefault="00AB7AC0" w:rsidP="00AB7AC0">
            <w:pPr>
              <w:pStyle w:val="TAC"/>
              <w:spacing w:line="256" w:lineRule="auto"/>
              <w:rPr>
                <w:rFonts w:eastAsia="Batang"/>
                <w:color w:val="000000"/>
                <w:lang w:val="en-US"/>
              </w:rPr>
            </w:pPr>
            <w:r w:rsidRPr="006C0CE8">
              <w:rPr>
                <w:i/>
              </w:rPr>
              <w:t>X</w:t>
            </w:r>
            <w:r w:rsidRPr="006C0CE8">
              <w:rPr>
                <w:vertAlign w:val="subscript"/>
                <w:lang w:val="en-US"/>
              </w:rPr>
              <w:t>0</w:t>
            </w:r>
          </w:p>
        </w:tc>
      </w:tr>
      <w:tr w:rsidR="00AB7AC0" w:rsidRPr="009A799B" w14:paraId="31136477" w14:textId="77777777" w:rsidTr="00AB7AC0">
        <w:trPr>
          <w:jc w:val="center"/>
        </w:trPr>
        <w:tc>
          <w:tcPr>
            <w:tcW w:w="596" w:type="dxa"/>
            <w:tcBorders>
              <w:top w:val="single" w:sz="4" w:space="0" w:color="auto"/>
              <w:left w:val="single" w:sz="4" w:space="0" w:color="auto"/>
              <w:bottom w:val="single" w:sz="4" w:space="0" w:color="auto"/>
              <w:right w:val="single" w:sz="4" w:space="0" w:color="auto"/>
            </w:tcBorders>
            <w:hideMark/>
          </w:tcPr>
          <w:p w14:paraId="7129FF73"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hideMark/>
          </w:tcPr>
          <w:p w14:paraId="7339E486"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hideMark/>
          </w:tcPr>
          <w:p w14:paraId="0F00CB5D"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hideMark/>
          </w:tcPr>
          <w:p w14:paraId="2C866ACE"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hideMark/>
          </w:tcPr>
          <w:p w14:paraId="3BBC2745"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hideMark/>
          </w:tcPr>
          <w:p w14:paraId="3C3B5204" w14:textId="77777777" w:rsidR="00AB7AC0" w:rsidRPr="006C0CE8" w:rsidRDefault="00AB7AC0" w:rsidP="00AB7AC0">
            <w:pPr>
              <w:pStyle w:val="TAC"/>
              <w:spacing w:line="256" w:lineRule="auto"/>
              <w:rPr>
                <w:rFonts w:eastAsia="Batang"/>
                <w:color w:val="000000"/>
                <w:lang w:val="en-GB"/>
              </w:rPr>
            </w:pPr>
            <w:r w:rsidRPr="006C0CE8">
              <w:t>33</w:t>
            </w:r>
          </w:p>
        </w:tc>
        <w:tc>
          <w:tcPr>
            <w:tcW w:w="2040" w:type="dxa"/>
            <w:tcBorders>
              <w:top w:val="single" w:sz="4" w:space="0" w:color="auto"/>
              <w:left w:val="single" w:sz="4" w:space="0" w:color="auto"/>
              <w:bottom w:val="single" w:sz="4" w:space="0" w:color="auto"/>
              <w:right w:val="single" w:sz="4" w:space="0" w:color="auto"/>
            </w:tcBorders>
            <w:hideMark/>
          </w:tcPr>
          <w:p w14:paraId="4AC63606" w14:textId="77777777" w:rsidR="00AB7AC0" w:rsidRPr="006C0CE8" w:rsidRDefault="00AB7AC0" w:rsidP="00AB7AC0">
            <w:pPr>
              <w:pStyle w:val="TAC"/>
              <w:spacing w:line="256" w:lineRule="auto"/>
              <w:rPr>
                <w:rFonts w:eastAsia="Batang"/>
                <w:color w:val="000000"/>
                <w:lang w:val="en-US"/>
              </w:rPr>
            </w:pPr>
            <w:r w:rsidRPr="006C0CE8">
              <w:rPr>
                <w:i/>
              </w:rPr>
              <w:t>X</w:t>
            </w:r>
            <w:r w:rsidRPr="006C0CE8">
              <w:rPr>
                <w:vertAlign w:val="subscript"/>
                <w:lang w:val="en-US"/>
              </w:rPr>
              <w:t>1</w:t>
            </w:r>
          </w:p>
        </w:tc>
      </w:tr>
      <w:tr w:rsidR="00AB7AC0" w:rsidRPr="009A799B" w14:paraId="064DD2B5" w14:textId="77777777" w:rsidTr="00AB7AC0">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5001EC5E"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hideMark/>
          </w:tcPr>
          <w:p w14:paraId="74D5A265"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hideMark/>
          </w:tcPr>
          <w:p w14:paraId="42C3EB23"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hideMark/>
          </w:tcPr>
          <w:p w14:paraId="71206DA9"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hideMark/>
          </w:tcPr>
          <w:p w14:paraId="041BE555"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hideMark/>
          </w:tcPr>
          <w:p w14:paraId="3D39A7F3" w14:textId="240DD0C8" w:rsidR="00AB7AC0" w:rsidRPr="006C0CE8" w:rsidRDefault="00AB7AC0" w:rsidP="00AB7AC0">
            <w:pPr>
              <w:pStyle w:val="TAC"/>
              <w:spacing w:line="256" w:lineRule="auto"/>
              <w:rPr>
                <w:rFonts w:eastAsia="Batang"/>
                <w:color w:val="000000"/>
                <w:lang w:val="en-GB"/>
              </w:rPr>
            </w:pPr>
            <w:r w:rsidRPr="006C0CE8">
              <w:rPr>
                <w:rFonts w:eastAsia="Batang"/>
                <w:color w:val="000000"/>
                <w:u w:val="single"/>
                <w:lang w:eastAsia="en-GB"/>
              </w:rPr>
              <w:t>min(44,</w:t>
            </w:r>
            <w:r w:rsidRPr="006C0CE8">
              <w:rPr>
                <w:rFonts w:eastAsia="Batang"/>
                <w:color w:val="000000"/>
                <w:u w:val="single"/>
                <w:lang w:eastAsia="en-GB"/>
              </w:rPr>
              <w:fldChar w:fldCharType="begin"/>
            </w:r>
            <w:r w:rsidRPr="006C0CE8">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X</m:t>
                  </m:r>
                </m:e>
                <m:sub>
                  <m:r>
                    <m:rPr>
                      <m:sty m:val="p"/>
                    </m:rPr>
                    <w:rPr>
                      <w:rFonts w:ascii="Cambria Math" w:hAnsi="Cambria Math"/>
                      <w:color w:val="000000"/>
                      <w:lang w:eastAsia="en-GB"/>
                    </w:rPr>
                    <m:t>3</m:t>
                  </m:r>
                </m:sub>
              </m:sSub>
            </m:oMath>
            <w:r w:rsidRPr="006C0CE8">
              <w:rPr>
                <w:rFonts w:eastAsia="Batang"/>
                <w:color w:val="000000"/>
                <w:u w:val="single"/>
                <w:lang w:eastAsia="en-GB"/>
              </w:rPr>
              <w:instrText xml:space="preserve"> </w:instrText>
            </w:r>
            <w:r w:rsidRPr="006C0CE8">
              <w:rPr>
                <w:rFonts w:eastAsia="Batang"/>
                <w:color w:val="000000"/>
                <w:u w:val="single"/>
                <w:lang w:eastAsia="en-GB"/>
              </w:rPr>
              <w:fldChar w:fldCharType="separate"/>
            </w:r>
            <m:oMath>
              <m:sSub>
                <m:sSubPr>
                  <m:ctrlPr>
                    <w:rPr>
                      <w:rFonts w:ascii="Cambria Math" w:hAnsi="Cambria Math"/>
                      <w:i/>
                      <w:color w:val="000000"/>
                      <w:lang w:eastAsia="en-GB"/>
                    </w:rPr>
                  </m:ctrlPr>
                </m:sSubPr>
                <m:e>
                  <m:r>
                    <m:rPr>
                      <m:sty m:val="p"/>
                    </m:rPr>
                    <w:rPr>
                      <w:rFonts w:ascii="Cambria Math" w:hAnsi="Cambria Math"/>
                      <w:color w:val="000000"/>
                      <w:lang w:eastAsia="en-GB"/>
                    </w:rPr>
                    <m:t>X</m:t>
                  </m:r>
                </m:e>
                <m:sub>
                  <m:r>
                    <m:rPr>
                      <m:sty m:val="p"/>
                    </m:rPr>
                    <w:rPr>
                      <w:rFonts w:ascii="Cambria Math" w:hAnsi="Cambria Math"/>
                      <w:color w:val="000000"/>
                      <w:lang w:eastAsia="en-GB"/>
                    </w:rPr>
                    <m:t>3</m:t>
                  </m:r>
                </m:sub>
              </m:sSub>
            </m:oMath>
            <w:r w:rsidRPr="006C0CE8">
              <w:rPr>
                <w:rFonts w:eastAsia="Batang"/>
                <w:color w:val="000000"/>
                <w:u w:val="single"/>
                <w:lang w:eastAsia="en-GB"/>
              </w:rPr>
              <w:fldChar w:fldCharType="end"/>
            </w:r>
            <w:r w:rsidRPr="006C0CE8">
              <w:rPr>
                <w:rFonts w:eastAsia="Batang"/>
                <w:color w:val="000000"/>
                <w:u w:val="single"/>
                <w:lang w:eastAsia="en-GB"/>
              </w:rPr>
              <w:t>+</w:t>
            </w:r>
            <w:r w:rsidRPr="006C0CE8">
              <w:rPr>
                <w:szCs w:val="18"/>
                <w:u w:val="single"/>
              </w:rPr>
              <w:t xml:space="preserve"> </w:t>
            </w:r>
            <w:r w:rsidRPr="006C0CE8">
              <w:rPr>
                <w:rFonts w:cs="Arial"/>
                <w:szCs w:val="18"/>
                <w:u w:val="single"/>
              </w:rPr>
              <w:t>KB</w:t>
            </w:r>
            <w:r w:rsidRPr="006C0CE8">
              <w:rPr>
                <w:szCs w:val="18"/>
                <w:u w:val="single"/>
                <w:vertAlign w:val="subscript"/>
              </w:rPr>
              <w:t>1</w:t>
            </w:r>
            <w:r w:rsidRPr="006C0CE8">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hideMark/>
          </w:tcPr>
          <w:p w14:paraId="67ECE659" w14:textId="77777777" w:rsidR="00AB7AC0" w:rsidRPr="006C0CE8" w:rsidRDefault="00AB7AC0" w:rsidP="00AB7AC0">
            <w:pPr>
              <w:pStyle w:val="TAC"/>
              <w:spacing w:line="256" w:lineRule="auto"/>
              <w:rPr>
                <w:rFonts w:eastAsia="Batang"/>
                <w:color w:val="000000"/>
                <w:lang w:val="en-US"/>
              </w:rPr>
            </w:pPr>
            <w:r w:rsidRPr="006C0CE8">
              <w:rPr>
                <w:i/>
              </w:rPr>
              <w:t>X</w:t>
            </w:r>
            <w:r w:rsidRPr="006C0CE8">
              <w:rPr>
                <w:vertAlign w:val="subscript"/>
                <w:lang w:val="en-US"/>
              </w:rPr>
              <w:t>2</w:t>
            </w:r>
          </w:p>
        </w:tc>
      </w:tr>
      <w:tr w:rsidR="00AB7AC0" w14:paraId="51258CFA" w14:textId="77777777" w:rsidTr="00AB7AC0">
        <w:trPr>
          <w:jc w:val="center"/>
        </w:trPr>
        <w:tc>
          <w:tcPr>
            <w:tcW w:w="596" w:type="dxa"/>
            <w:tcBorders>
              <w:top w:val="single" w:sz="4" w:space="0" w:color="auto"/>
              <w:left w:val="single" w:sz="4" w:space="0" w:color="auto"/>
              <w:bottom w:val="single" w:sz="4" w:space="0" w:color="auto"/>
              <w:right w:val="single" w:sz="4" w:space="0" w:color="auto"/>
            </w:tcBorders>
            <w:hideMark/>
          </w:tcPr>
          <w:p w14:paraId="72990C38"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hideMark/>
          </w:tcPr>
          <w:p w14:paraId="7476AF76"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hideMark/>
          </w:tcPr>
          <w:p w14:paraId="08362A19"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hideMark/>
          </w:tcPr>
          <w:p w14:paraId="20F9A7AC"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hideMark/>
          </w:tcPr>
          <w:p w14:paraId="24A239DE"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hideMark/>
          </w:tcPr>
          <w:p w14:paraId="7E92BEF4" w14:textId="77777777" w:rsidR="00AB7AC0" w:rsidRPr="006C0CE8" w:rsidRDefault="00AB7AC0" w:rsidP="00AB7AC0">
            <w:pPr>
              <w:pStyle w:val="TAC"/>
              <w:spacing w:line="256" w:lineRule="auto"/>
              <w:rPr>
                <w:rFonts w:eastAsia="Batang"/>
                <w:color w:val="000000"/>
                <w:lang w:val="en-GB"/>
              </w:rPr>
            </w:pPr>
            <w:r w:rsidRPr="006C0CE8">
              <w:rPr>
                <w:rFonts w:eastAsia="Batang"/>
                <w:color w:val="000000"/>
                <w:u w:val="single"/>
                <w:lang w:eastAsia="en-GB"/>
              </w:rPr>
              <w:t>min(97,</w:t>
            </w:r>
            <w:r w:rsidRPr="006C0CE8">
              <w:rPr>
                <w:i/>
                <w:u w:val="single"/>
              </w:rPr>
              <w:t xml:space="preserve"> X</w:t>
            </w:r>
            <w:r w:rsidRPr="006C0CE8">
              <w:rPr>
                <w:u w:val="single"/>
                <w:vertAlign w:val="subscript"/>
                <w:lang w:val="en-US"/>
              </w:rPr>
              <w:t>3</w:t>
            </w:r>
            <w:r w:rsidRPr="006C0CE8">
              <w:rPr>
                <w:rFonts w:eastAsia="Batang"/>
                <w:color w:val="000000"/>
                <w:u w:val="single"/>
                <w:lang w:eastAsia="en-GB"/>
              </w:rPr>
              <w:t>+</w:t>
            </w:r>
            <w:r w:rsidRPr="006C0CE8">
              <w:rPr>
                <w:szCs w:val="18"/>
                <w:u w:val="single"/>
              </w:rPr>
              <w:t xml:space="preserve"> </w:t>
            </w:r>
            <w:r w:rsidRPr="006C0CE8">
              <w:rPr>
                <w:rFonts w:cs="Arial"/>
                <w:szCs w:val="18"/>
                <w:u w:val="single"/>
              </w:rPr>
              <w:t>KB</w:t>
            </w:r>
            <w:r w:rsidRPr="006C0CE8">
              <w:rPr>
                <w:szCs w:val="18"/>
                <w:u w:val="single"/>
                <w:vertAlign w:val="subscript"/>
                <w:lang w:val="sv-SE"/>
              </w:rPr>
              <w:t>2</w:t>
            </w:r>
            <w:r w:rsidRPr="006C0CE8">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hideMark/>
          </w:tcPr>
          <w:p w14:paraId="5EB49784" w14:textId="77777777" w:rsidR="00AB7AC0" w:rsidRDefault="00AB7AC0" w:rsidP="00AB7AC0">
            <w:pPr>
              <w:pStyle w:val="TAC"/>
              <w:spacing w:line="256" w:lineRule="auto"/>
              <w:rPr>
                <w:rFonts w:eastAsia="Batang"/>
                <w:color w:val="000000"/>
                <w:lang w:val="en-US"/>
              </w:rPr>
            </w:pPr>
            <w:r w:rsidRPr="006C0CE8">
              <w:rPr>
                <w:i/>
              </w:rPr>
              <w:t>X</w:t>
            </w:r>
            <w:r w:rsidRPr="006C0CE8">
              <w:rPr>
                <w:vertAlign w:val="subscript"/>
                <w:lang w:val="en-US"/>
              </w:rPr>
              <w:t>3</w:t>
            </w:r>
          </w:p>
        </w:tc>
      </w:tr>
    </w:tbl>
    <w:p w14:paraId="38A54003" w14:textId="77777777" w:rsidR="00AB7AC0" w:rsidRDefault="00AB7AC0" w:rsidP="001E55EE">
      <w:pPr>
        <w:pStyle w:val="BodyText"/>
      </w:pPr>
    </w:p>
    <w:p w14:paraId="4810D930" w14:textId="3A3C5C14" w:rsidR="001E55EE" w:rsidRDefault="001E55EE" w:rsidP="001E55EE">
      <w:pPr>
        <w:pStyle w:val="BodyText"/>
      </w:pPr>
      <w:r>
        <w:t>The Rel-15 CSI computation</w:t>
      </w:r>
      <w:r w:rsidR="00873921">
        <w:t xml:space="preserve"> time</w:t>
      </w:r>
      <w:r>
        <w:t xml:space="preserve"> can be similarly fitted. </w:t>
      </w:r>
      <m:oMath>
        <m:sSub>
          <m:sSubPr>
            <m:ctrlPr>
              <w:rPr>
                <w:rFonts w:ascii="Cambria Math" w:hAnsi="Cambria Math"/>
                <w:i/>
                <w:iCs/>
              </w:rPr>
            </m:ctrlPr>
          </m:sSubPr>
          <m:e>
            <m:r>
              <w:rPr>
                <w:rFonts w:ascii="Cambria Math" w:hAnsi="Cambria Math"/>
              </w:rPr>
              <m:t>Z</m:t>
            </m:r>
          </m:e>
          <m:sub>
            <m:r>
              <w:rPr>
                <w:rFonts w:ascii="Cambria Math" w:hAnsi="Cambria Math"/>
              </w:rPr>
              <m:t>1</m:t>
            </m:r>
          </m:sub>
        </m:sSub>
      </m:oMath>
      <w:r w:rsidR="00F70AA8">
        <w:rPr>
          <w:iCs/>
        </w:rPr>
        <w:t xml:space="preserve">and </w:t>
      </w:r>
      <m:oMath>
        <m:sSub>
          <m:sSubPr>
            <m:ctrlPr>
              <w:rPr>
                <w:rFonts w:ascii="Cambria Math" w:hAnsi="Cambria Math"/>
                <w:i/>
                <w:iCs/>
              </w:rPr>
            </m:ctrlPr>
          </m:sSubPr>
          <m:e>
            <m:r>
              <w:rPr>
                <w:rFonts w:ascii="Cambria Math" w:hAnsi="Cambria Math"/>
              </w:rPr>
              <m:t>Z</m:t>
            </m:r>
          </m:e>
          <m:sub>
            <m:r>
              <w:rPr>
                <w:rFonts w:ascii="Cambria Math" w:hAnsi="Cambria Math"/>
              </w:rPr>
              <m:t>2</m:t>
            </m:r>
          </m:sub>
        </m:sSub>
      </m:oMath>
      <w:r>
        <w:t xml:space="preserve"> for numerology </w:t>
      </w:r>
      <m:oMath>
        <m:r>
          <w:rPr>
            <w:rFonts w:ascii="Cambria Math" w:hAnsi="Cambria Math"/>
          </w:rPr>
          <m:t>μ</m:t>
        </m:r>
      </m:oMath>
      <w:r>
        <w:t xml:space="preserve"> in terms of the number of OS in the respective numerology can be approximated by</w:t>
      </w:r>
    </w:p>
    <w:p w14:paraId="75E4C373" w14:textId="31AEBEA9" w:rsidR="00A716B1" w:rsidRPr="00A716B1" w:rsidRDefault="00B04ED4" w:rsidP="001E55EE">
      <w:pPr>
        <w:pStyle w:val="BodyText"/>
        <w:rPr>
          <w:iCs/>
        </w:rPr>
      </w:pPr>
      <m:oMathPara>
        <m:oMath>
          <m:sSub>
            <m:sSubPr>
              <m:ctrlPr>
                <w:rPr>
                  <w:rFonts w:ascii="Cambria Math" w:hAnsi="Cambria Math"/>
                  <w:i/>
                  <w:iCs/>
                </w:rPr>
              </m:ctrlPr>
            </m:sSubPr>
            <m:e>
              <m:r>
                <w:rPr>
                  <w:rFonts w:ascii="Cambria Math" w:hAnsi="Cambria Math"/>
                </w:rPr>
                <m:t>Z</m:t>
              </m:r>
            </m:e>
            <m:sub>
              <m:r>
                <w:rPr>
                  <w:rFonts w:ascii="Cambria Math" w:hAnsi="Cambria Math"/>
                </w:rPr>
                <m:t>1</m:t>
              </m:r>
            </m:sub>
          </m:sSub>
          <m:r>
            <w:rPr>
              <w:rFonts w:ascii="Cambria Math" w:hAnsi="Cambria Math"/>
            </w:rPr>
            <m:t>≅17×</m:t>
          </m:r>
          <m:sSup>
            <m:sSupPr>
              <m:ctrlPr>
                <w:rPr>
                  <w:rFonts w:ascii="Cambria Math" w:hAnsi="Cambria Math"/>
                  <w:i/>
                  <w:iCs/>
                </w:rPr>
              </m:ctrlPr>
            </m:sSupPr>
            <m:e>
              <m:r>
                <w:rPr>
                  <w:rFonts w:ascii="Cambria Math" w:hAnsi="Cambria Math"/>
                </w:rPr>
                <m:t>2</m:t>
              </m:r>
            </m:e>
            <m:sup>
              <m:r>
                <w:rPr>
                  <w:rFonts w:ascii="Cambria Math" w:hAnsi="Cambria Math"/>
                </w:rPr>
                <m:t>0.84μ</m:t>
              </m:r>
            </m:sup>
          </m:sSup>
        </m:oMath>
      </m:oMathPara>
    </w:p>
    <w:p w14:paraId="385D283C" w14:textId="17D52E97" w:rsidR="00DB16D5" w:rsidRPr="00A716B1" w:rsidRDefault="00B04ED4" w:rsidP="00DB16D5">
      <w:pPr>
        <w:pStyle w:val="BodyText"/>
        <w:rPr>
          <w:iCs/>
        </w:rPr>
      </w:pPr>
      <m:oMathPara>
        <m:oMath>
          <m:sSub>
            <m:sSubPr>
              <m:ctrlPr>
                <w:rPr>
                  <w:rFonts w:ascii="Cambria Math" w:hAnsi="Cambria Math"/>
                  <w:i/>
                  <w:iCs/>
                </w:rPr>
              </m:ctrlPr>
            </m:sSubPr>
            <m:e>
              <m:r>
                <w:rPr>
                  <w:rFonts w:ascii="Cambria Math" w:hAnsi="Cambria Math"/>
                </w:rPr>
                <m:t>Z</m:t>
              </m:r>
            </m:e>
            <m:sub>
              <m:r>
                <w:rPr>
                  <w:rFonts w:ascii="Cambria Math" w:hAnsi="Cambria Math"/>
                </w:rPr>
                <m:t>2</m:t>
              </m:r>
            </m:sub>
          </m:sSub>
          <m:r>
            <w:rPr>
              <w:rFonts w:ascii="Cambria Math" w:hAnsi="Cambria Math"/>
            </w:rPr>
            <m:t>≅50×</m:t>
          </m:r>
          <m:sSup>
            <m:sSupPr>
              <m:ctrlPr>
                <w:rPr>
                  <w:rFonts w:ascii="Cambria Math" w:hAnsi="Cambria Math"/>
                  <w:i/>
                  <w:iCs/>
                </w:rPr>
              </m:ctrlPr>
            </m:sSupPr>
            <m:e>
              <m:r>
                <w:rPr>
                  <w:rFonts w:ascii="Cambria Math" w:hAnsi="Cambria Math"/>
                </w:rPr>
                <m:t>2</m:t>
              </m:r>
            </m:e>
            <m:sup>
              <m:r>
                <w:rPr>
                  <w:rFonts w:ascii="Cambria Math" w:hAnsi="Cambria Math"/>
                </w:rPr>
                <m:t>0.53μ</m:t>
              </m:r>
            </m:sup>
          </m:sSup>
        </m:oMath>
      </m:oMathPara>
    </w:p>
    <w:p w14:paraId="3B60D664" w14:textId="3C0CC06E" w:rsidR="008472CD" w:rsidRPr="00B53828" w:rsidRDefault="008472CD" w:rsidP="00B53828">
      <w:pPr>
        <w:pStyle w:val="Caption"/>
        <w:keepNext/>
        <w:jc w:val="center"/>
        <w:rPr>
          <w:rFonts w:ascii="Arial" w:hAnsi="Arial" w:cs="Arial"/>
        </w:rPr>
      </w:pPr>
      <w:r w:rsidRPr="00B53828">
        <w:rPr>
          <w:rFonts w:ascii="Arial" w:hAnsi="Arial" w:cs="Arial"/>
        </w:rPr>
        <w:t xml:space="preserve">Figure </w:t>
      </w:r>
      <w:r w:rsidRPr="00B53828">
        <w:rPr>
          <w:rFonts w:ascii="Arial" w:hAnsi="Arial" w:cs="Arial"/>
        </w:rPr>
        <w:fldChar w:fldCharType="begin"/>
      </w:r>
      <w:r w:rsidRPr="00B53828">
        <w:rPr>
          <w:rFonts w:ascii="Arial" w:hAnsi="Arial" w:cs="Arial"/>
        </w:rPr>
        <w:instrText xml:space="preserve"> SEQ Figure \* ARABIC </w:instrText>
      </w:r>
      <w:r w:rsidRPr="00B53828">
        <w:rPr>
          <w:rFonts w:ascii="Arial" w:hAnsi="Arial" w:cs="Arial"/>
        </w:rPr>
        <w:fldChar w:fldCharType="separate"/>
      </w:r>
      <w:r w:rsidR="00BE31F7">
        <w:rPr>
          <w:rFonts w:ascii="Arial" w:hAnsi="Arial" w:cs="Arial"/>
          <w:noProof/>
        </w:rPr>
        <w:t>36</w:t>
      </w:r>
      <w:r w:rsidRPr="00B53828">
        <w:rPr>
          <w:rFonts w:ascii="Arial" w:hAnsi="Arial" w:cs="Arial"/>
        </w:rPr>
        <w:fldChar w:fldCharType="end"/>
      </w:r>
      <w:r w:rsidRPr="00B53828">
        <w:rPr>
          <w:rFonts w:ascii="Arial" w:hAnsi="Arial" w:cs="Arial"/>
        </w:rPr>
        <w:t xml:space="preserve">: Extrapolated </w:t>
      </w:r>
      <w:r w:rsidRPr="004F69A1">
        <w:rPr>
          <w:rFonts w:ascii="Arial" w:hAnsi="Arial" w:cs="Arial"/>
          <w:i/>
        </w:rPr>
        <w:t>Z</w:t>
      </w:r>
      <w:r w:rsidRPr="004F69A1">
        <w:rPr>
          <w:rFonts w:ascii="Arial" w:hAnsi="Arial" w:cs="Arial"/>
          <w:vertAlign w:val="subscript"/>
        </w:rPr>
        <w:t>1</w:t>
      </w:r>
      <w:r w:rsidRPr="00B53828">
        <w:rPr>
          <w:rFonts w:ascii="Arial" w:hAnsi="Arial" w:cs="Arial"/>
        </w:rPr>
        <w:t xml:space="preserve"> and </w:t>
      </w:r>
      <w:r w:rsidRPr="004F69A1">
        <w:rPr>
          <w:rFonts w:ascii="Arial" w:hAnsi="Arial" w:cs="Arial"/>
          <w:i/>
        </w:rPr>
        <w:t>Z</w:t>
      </w:r>
      <w:r w:rsidRPr="004F69A1">
        <w:rPr>
          <w:rFonts w:ascii="Arial" w:hAnsi="Arial" w:cs="Arial"/>
          <w:vertAlign w:val="subscript"/>
        </w:rPr>
        <w:t>2</w:t>
      </w:r>
      <w:r w:rsidRPr="00B53828">
        <w:rPr>
          <w:rFonts w:ascii="Arial" w:hAnsi="Arial" w:cs="Arial"/>
        </w:rPr>
        <w:t xml:space="preserve"> values</w:t>
      </w:r>
    </w:p>
    <w:tbl>
      <w:tblPr>
        <w:tblStyle w:val="TableGrid"/>
        <w:tblW w:w="8640" w:type="dxa"/>
        <w:tblInd w:w="445" w:type="dxa"/>
        <w:tblLayout w:type="fixed"/>
        <w:tblLook w:val="04A0" w:firstRow="1" w:lastRow="0" w:firstColumn="1" w:lastColumn="0" w:noHBand="0" w:noVBand="1"/>
      </w:tblPr>
      <w:tblGrid>
        <w:gridCol w:w="1530"/>
        <w:gridCol w:w="1015"/>
        <w:gridCol w:w="1016"/>
        <w:gridCol w:w="1016"/>
        <w:gridCol w:w="1015"/>
        <w:gridCol w:w="1016"/>
        <w:gridCol w:w="1016"/>
        <w:gridCol w:w="1016"/>
      </w:tblGrid>
      <w:tr w:rsidR="002024CF" w:rsidRPr="00713B6C" w14:paraId="53950311" w14:textId="77777777" w:rsidTr="004F69A1">
        <w:trPr>
          <w:trHeight w:val="52"/>
        </w:trPr>
        <w:tc>
          <w:tcPr>
            <w:tcW w:w="1530" w:type="dxa"/>
            <w:tcBorders>
              <w:bottom w:val="double" w:sz="4" w:space="0" w:color="auto"/>
              <w:right w:val="double" w:sz="4" w:space="0" w:color="auto"/>
            </w:tcBorders>
            <w:vAlign w:val="center"/>
            <w:hideMark/>
          </w:tcPr>
          <w:p w14:paraId="247C70BE" w14:textId="77777777" w:rsidR="002024CF" w:rsidRPr="00713B6C" w:rsidRDefault="002024CF" w:rsidP="002F08A2">
            <w:pPr>
              <w:pStyle w:val="BodyText"/>
              <w:spacing w:before="40" w:after="40"/>
              <w:jc w:val="center"/>
              <w:rPr>
                <w:lang w:val="en-US"/>
              </w:rPr>
            </w:pPr>
            <w:r w:rsidRPr="00713B6C">
              <w:rPr>
                <w:lang w:val="en-US"/>
              </w:rPr>
              <w:t>SCS [kHz]</w:t>
            </w:r>
          </w:p>
        </w:tc>
        <w:tc>
          <w:tcPr>
            <w:tcW w:w="1015" w:type="dxa"/>
            <w:tcBorders>
              <w:left w:val="double" w:sz="4" w:space="0" w:color="auto"/>
              <w:bottom w:val="double" w:sz="4" w:space="0" w:color="auto"/>
            </w:tcBorders>
            <w:vAlign w:val="center"/>
            <w:hideMark/>
          </w:tcPr>
          <w:p w14:paraId="54FDFA18" w14:textId="77777777" w:rsidR="002024CF" w:rsidRPr="00713B6C" w:rsidRDefault="002024CF" w:rsidP="002F08A2">
            <w:pPr>
              <w:pStyle w:val="BodyText"/>
              <w:spacing w:before="40" w:after="40"/>
              <w:jc w:val="center"/>
              <w:rPr>
                <w:lang w:val="en-US"/>
              </w:rPr>
            </w:pPr>
            <w:r w:rsidRPr="00713B6C">
              <w:rPr>
                <w:lang w:val="en-GB"/>
              </w:rPr>
              <w:t>15</w:t>
            </w:r>
          </w:p>
        </w:tc>
        <w:tc>
          <w:tcPr>
            <w:tcW w:w="1016" w:type="dxa"/>
            <w:tcBorders>
              <w:bottom w:val="double" w:sz="4" w:space="0" w:color="auto"/>
            </w:tcBorders>
            <w:vAlign w:val="center"/>
            <w:hideMark/>
          </w:tcPr>
          <w:p w14:paraId="2E705917" w14:textId="77777777" w:rsidR="002024CF" w:rsidRPr="00713B6C" w:rsidRDefault="002024CF" w:rsidP="002F08A2">
            <w:pPr>
              <w:pStyle w:val="BodyText"/>
              <w:spacing w:before="40" w:after="40"/>
              <w:jc w:val="center"/>
              <w:rPr>
                <w:lang w:val="en-US"/>
              </w:rPr>
            </w:pPr>
            <w:r w:rsidRPr="00713B6C">
              <w:rPr>
                <w:lang w:val="en-GB"/>
              </w:rPr>
              <w:t>30</w:t>
            </w:r>
          </w:p>
        </w:tc>
        <w:tc>
          <w:tcPr>
            <w:tcW w:w="1016" w:type="dxa"/>
            <w:tcBorders>
              <w:bottom w:val="double" w:sz="4" w:space="0" w:color="auto"/>
            </w:tcBorders>
            <w:vAlign w:val="center"/>
            <w:hideMark/>
          </w:tcPr>
          <w:p w14:paraId="27169030" w14:textId="77777777" w:rsidR="002024CF" w:rsidRPr="00713B6C" w:rsidRDefault="002024CF" w:rsidP="002F08A2">
            <w:pPr>
              <w:pStyle w:val="BodyText"/>
              <w:spacing w:before="40" w:after="40"/>
              <w:jc w:val="center"/>
              <w:rPr>
                <w:lang w:val="en-US"/>
              </w:rPr>
            </w:pPr>
            <w:r w:rsidRPr="00713B6C">
              <w:rPr>
                <w:lang w:val="en-GB"/>
              </w:rPr>
              <w:t>60</w:t>
            </w:r>
          </w:p>
        </w:tc>
        <w:tc>
          <w:tcPr>
            <w:tcW w:w="1015" w:type="dxa"/>
            <w:tcBorders>
              <w:bottom w:val="double" w:sz="4" w:space="0" w:color="auto"/>
            </w:tcBorders>
            <w:vAlign w:val="center"/>
            <w:hideMark/>
          </w:tcPr>
          <w:p w14:paraId="27A64A32" w14:textId="77777777" w:rsidR="002024CF" w:rsidRPr="00713B6C" w:rsidRDefault="002024CF" w:rsidP="002F08A2">
            <w:pPr>
              <w:pStyle w:val="BodyText"/>
              <w:spacing w:before="40" w:after="40"/>
              <w:jc w:val="center"/>
              <w:rPr>
                <w:lang w:val="en-US"/>
              </w:rPr>
            </w:pPr>
            <w:r w:rsidRPr="00713B6C">
              <w:rPr>
                <w:lang w:val="en-GB"/>
              </w:rPr>
              <w:t>120</w:t>
            </w:r>
          </w:p>
        </w:tc>
        <w:tc>
          <w:tcPr>
            <w:tcW w:w="1016" w:type="dxa"/>
            <w:tcBorders>
              <w:bottom w:val="double" w:sz="4" w:space="0" w:color="auto"/>
            </w:tcBorders>
            <w:vAlign w:val="center"/>
            <w:hideMark/>
          </w:tcPr>
          <w:p w14:paraId="317921F4" w14:textId="77777777" w:rsidR="002024CF" w:rsidRPr="00713B6C" w:rsidRDefault="002024CF" w:rsidP="002F08A2">
            <w:pPr>
              <w:pStyle w:val="BodyText"/>
              <w:spacing w:before="40" w:after="40"/>
              <w:jc w:val="center"/>
              <w:rPr>
                <w:lang w:val="en-US"/>
              </w:rPr>
            </w:pPr>
            <w:r w:rsidRPr="00713B6C">
              <w:rPr>
                <w:lang w:val="en-US"/>
              </w:rPr>
              <w:t>240</w:t>
            </w:r>
          </w:p>
        </w:tc>
        <w:tc>
          <w:tcPr>
            <w:tcW w:w="1016" w:type="dxa"/>
            <w:tcBorders>
              <w:bottom w:val="double" w:sz="4" w:space="0" w:color="auto"/>
            </w:tcBorders>
            <w:vAlign w:val="center"/>
            <w:hideMark/>
          </w:tcPr>
          <w:p w14:paraId="0F18538D" w14:textId="77777777" w:rsidR="002024CF" w:rsidRPr="00713B6C" w:rsidRDefault="002024CF" w:rsidP="002F08A2">
            <w:pPr>
              <w:pStyle w:val="BodyText"/>
              <w:spacing w:before="40" w:after="40"/>
              <w:jc w:val="center"/>
              <w:rPr>
                <w:lang w:val="en-US"/>
              </w:rPr>
            </w:pPr>
            <w:r w:rsidRPr="00713B6C">
              <w:rPr>
                <w:lang w:val="en-US"/>
              </w:rPr>
              <w:t>480</w:t>
            </w:r>
          </w:p>
        </w:tc>
        <w:tc>
          <w:tcPr>
            <w:tcW w:w="1016" w:type="dxa"/>
            <w:tcBorders>
              <w:bottom w:val="double" w:sz="4" w:space="0" w:color="auto"/>
            </w:tcBorders>
            <w:vAlign w:val="center"/>
            <w:hideMark/>
          </w:tcPr>
          <w:p w14:paraId="334A0DC2" w14:textId="77777777" w:rsidR="002024CF" w:rsidRPr="00713B6C" w:rsidRDefault="002024CF" w:rsidP="002F08A2">
            <w:pPr>
              <w:pStyle w:val="BodyText"/>
              <w:spacing w:before="40" w:after="40"/>
              <w:jc w:val="center"/>
              <w:rPr>
                <w:lang w:val="en-US"/>
              </w:rPr>
            </w:pPr>
            <w:r w:rsidRPr="00713B6C">
              <w:rPr>
                <w:lang w:val="en-US"/>
              </w:rPr>
              <w:t>960</w:t>
            </w:r>
          </w:p>
        </w:tc>
      </w:tr>
      <w:tr w:rsidR="002024CF" w:rsidRPr="00713B6C" w14:paraId="78AB8410" w14:textId="77777777" w:rsidTr="004F69A1">
        <w:trPr>
          <w:trHeight w:val="52"/>
        </w:trPr>
        <w:tc>
          <w:tcPr>
            <w:tcW w:w="1530" w:type="dxa"/>
            <w:tcBorders>
              <w:top w:val="double" w:sz="4" w:space="0" w:color="auto"/>
              <w:right w:val="double" w:sz="4" w:space="0" w:color="auto"/>
            </w:tcBorders>
            <w:vAlign w:val="center"/>
            <w:hideMark/>
          </w:tcPr>
          <w:p w14:paraId="16A37EF7" w14:textId="28F72503" w:rsidR="002024CF" w:rsidRPr="00713B6C" w:rsidRDefault="002024CF" w:rsidP="002F08A2">
            <w:pPr>
              <w:pStyle w:val="BodyText"/>
              <w:spacing w:before="40" w:after="40"/>
              <w:jc w:val="center"/>
              <w:rPr>
                <w:lang w:val="en-US"/>
              </w:rPr>
            </w:pPr>
            <w:r w:rsidRPr="00543BA7">
              <w:rPr>
                <w:i/>
                <w:color w:val="000000"/>
                <w:lang w:val="en-GB"/>
              </w:rPr>
              <w:t>Z</w:t>
            </w:r>
            <w:r w:rsidRPr="00543BA7">
              <w:rPr>
                <w:i/>
                <w:color w:val="000000"/>
                <w:vertAlign w:val="subscript"/>
                <w:lang w:val="en-GB"/>
              </w:rPr>
              <w:t>1</w:t>
            </w:r>
            <w:r w:rsidRPr="00713B6C">
              <w:rPr>
                <w:lang w:val="en-US"/>
              </w:rPr>
              <w:t xml:space="preserve"> [OS]</w:t>
            </w:r>
          </w:p>
        </w:tc>
        <w:tc>
          <w:tcPr>
            <w:tcW w:w="1015" w:type="dxa"/>
            <w:tcBorders>
              <w:top w:val="double" w:sz="4" w:space="0" w:color="auto"/>
              <w:left w:val="double" w:sz="4" w:space="0" w:color="auto"/>
            </w:tcBorders>
            <w:vAlign w:val="center"/>
            <w:hideMark/>
          </w:tcPr>
          <w:p w14:paraId="194A90C4" w14:textId="0A87C955" w:rsidR="002024CF" w:rsidRPr="00713B6C" w:rsidRDefault="002024CF" w:rsidP="002F08A2">
            <w:pPr>
              <w:pStyle w:val="BodyText"/>
              <w:spacing w:before="40" w:after="40"/>
              <w:jc w:val="center"/>
              <w:rPr>
                <w:b/>
                <w:bCs/>
                <w:lang w:val="en-GB"/>
              </w:rPr>
            </w:pPr>
            <w:r>
              <w:rPr>
                <w:b/>
                <w:bCs/>
                <w:lang w:val="en-GB"/>
              </w:rPr>
              <w:t>22</w:t>
            </w:r>
          </w:p>
        </w:tc>
        <w:tc>
          <w:tcPr>
            <w:tcW w:w="1016" w:type="dxa"/>
            <w:tcBorders>
              <w:top w:val="double" w:sz="4" w:space="0" w:color="auto"/>
            </w:tcBorders>
            <w:vAlign w:val="center"/>
            <w:hideMark/>
          </w:tcPr>
          <w:p w14:paraId="5CA06A2C" w14:textId="3D474A2D" w:rsidR="002024CF" w:rsidRPr="00713B6C" w:rsidRDefault="002024CF" w:rsidP="002F08A2">
            <w:pPr>
              <w:pStyle w:val="BodyText"/>
              <w:spacing w:before="40" w:after="40"/>
              <w:jc w:val="center"/>
              <w:rPr>
                <w:b/>
                <w:bCs/>
                <w:lang w:val="en-GB"/>
              </w:rPr>
            </w:pPr>
            <w:r>
              <w:rPr>
                <w:b/>
                <w:bCs/>
                <w:lang w:val="en-GB"/>
              </w:rPr>
              <w:t>33</w:t>
            </w:r>
          </w:p>
        </w:tc>
        <w:tc>
          <w:tcPr>
            <w:tcW w:w="1016" w:type="dxa"/>
            <w:tcBorders>
              <w:top w:val="double" w:sz="4" w:space="0" w:color="auto"/>
            </w:tcBorders>
            <w:vAlign w:val="center"/>
            <w:hideMark/>
          </w:tcPr>
          <w:p w14:paraId="1115F1F4" w14:textId="0FFF1D91" w:rsidR="002024CF" w:rsidRPr="00713B6C" w:rsidRDefault="002024CF" w:rsidP="002F08A2">
            <w:pPr>
              <w:pStyle w:val="BodyText"/>
              <w:spacing w:before="40" w:after="40"/>
              <w:jc w:val="center"/>
              <w:rPr>
                <w:b/>
                <w:bCs/>
                <w:lang w:val="en-GB"/>
              </w:rPr>
            </w:pPr>
            <w:r>
              <w:rPr>
                <w:b/>
                <w:bCs/>
                <w:lang w:val="en-GB"/>
              </w:rPr>
              <w:t>44</w:t>
            </w:r>
          </w:p>
        </w:tc>
        <w:tc>
          <w:tcPr>
            <w:tcW w:w="1015" w:type="dxa"/>
            <w:tcBorders>
              <w:top w:val="double" w:sz="4" w:space="0" w:color="auto"/>
            </w:tcBorders>
            <w:vAlign w:val="center"/>
            <w:hideMark/>
          </w:tcPr>
          <w:p w14:paraId="11EFDA8F" w14:textId="5836163C" w:rsidR="002024CF" w:rsidRPr="00713B6C" w:rsidRDefault="00422159" w:rsidP="002F08A2">
            <w:pPr>
              <w:pStyle w:val="BodyText"/>
              <w:spacing w:before="40" w:after="40"/>
              <w:jc w:val="center"/>
              <w:rPr>
                <w:b/>
                <w:bCs/>
                <w:lang w:val="en-GB"/>
              </w:rPr>
            </w:pPr>
            <w:r>
              <w:rPr>
                <w:b/>
                <w:bCs/>
                <w:lang w:val="en-GB"/>
              </w:rPr>
              <w:t>97</w:t>
            </w:r>
          </w:p>
        </w:tc>
        <w:tc>
          <w:tcPr>
            <w:tcW w:w="1016" w:type="dxa"/>
            <w:tcBorders>
              <w:top w:val="double" w:sz="4" w:space="0" w:color="auto"/>
            </w:tcBorders>
            <w:vAlign w:val="center"/>
            <w:hideMark/>
          </w:tcPr>
          <w:p w14:paraId="39A06D47" w14:textId="77777777" w:rsidR="002024CF" w:rsidRPr="00713B6C" w:rsidRDefault="002024CF" w:rsidP="002F08A2">
            <w:pPr>
              <w:pStyle w:val="BodyText"/>
              <w:spacing w:before="40" w:after="40"/>
              <w:jc w:val="center"/>
              <w:rPr>
                <w:lang w:val="en-GB"/>
              </w:rPr>
            </w:pPr>
          </w:p>
        </w:tc>
        <w:tc>
          <w:tcPr>
            <w:tcW w:w="1016" w:type="dxa"/>
            <w:tcBorders>
              <w:top w:val="double" w:sz="4" w:space="0" w:color="auto"/>
            </w:tcBorders>
            <w:vAlign w:val="center"/>
            <w:hideMark/>
          </w:tcPr>
          <w:p w14:paraId="5A8D01A7" w14:textId="77777777" w:rsidR="002024CF" w:rsidRPr="00713B6C" w:rsidRDefault="002024CF" w:rsidP="002F08A2">
            <w:pPr>
              <w:pStyle w:val="BodyText"/>
              <w:spacing w:before="40" w:after="40"/>
              <w:jc w:val="center"/>
              <w:rPr>
                <w:lang w:val="en-GB"/>
              </w:rPr>
            </w:pPr>
          </w:p>
        </w:tc>
        <w:tc>
          <w:tcPr>
            <w:tcW w:w="1016" w:type="dxa"/>
            <w:tcBorders>
              <w:top w:val="double" w:sz="4" w:space="0" w:color="auto"/>
            </w:tcBorders>
            <w:vAlign w:val="center"/>
            <w:hideMark/>
          </w:tcPr>
          <w:p w14:paraId="6E853ABB" w14:textId="77777777" w:rsidR="002024CF" w:rsidRPr="00713B6C" w:rsidRDefault="002024CF" w:rsidP="002F08A2">
            <w:pPr>
              <w:pStyle w:val="BodyText"/>
              <w:spacing w:before="40" w:after="40"/>
              <w:jc w:val="center"/>
              <w:rPr>
                <w:lang w:val="en-GB"/>
              </w:rPr>
            </w:pPr>
          </w:p>
        </w:tc>
      </w:tr>
      <w:tr w:rsidR="002024CF" w:rsidRPr="00713B6C" w14:paraId="4EFB059C" w14:textId="77777777" w:rsidTr="004F69A1">
        <w:trPr>
          <w:trHeight w:val="52"/>
        </w:trPr>
        <w:tc>
          <w:tcPr>
            <w:tcW w:w="1530" w:type="dxa"/>
            <w:tcBorders>
              <w:right w:val="double" w:sz="4" w:space="0" w:color="auto"/>
            </w:tcBorders>
            <w:vAlign w:val="center"/>
            <w:hideMark/>
          </w:tcPr>
          <w:p w14:paraId="66F64781" w14:textId="77777777" w:rsidR="002024CF" w:rsidRPr="00713B6C" w:rsidRDefault="002024CF" w:rsidP="002F08A2">
            <w:pPr>
              <w:pStyle w:val="BodyText"/>
              <w:spacing w:before="40" w:after="40"/>
              <w:jc w:val="center"/>
              <w:rPr>
                <w:lang w:val="en-US"/>
              </w:rPr>
            </w:pPr>
            <w:r w:rsidRPr="00713B6C">
              <w:rPr>
                <w:lang w:val="en-US"/>
              </w:rPr>
              <w:t>Estimate [OS]</w:t>
            </w:r>
          </w:p>
        </w:tc>
        <w:tc>
          <w:tcPr>
            <w:tcW w:w="1015" w:type="dxa"/>
            <w:tcBorders>
              <w:left w:val="double" w:sz="4" w:space="0" w:color="auto"/>
            </w:tcBorders>
            <w:vAlign w:val="bottom"/>
          </w:tcPr>
          <w:p w14:paraId="11221D12" w14:textId="678C1DCD" w:rsidR="002024CF" w:rsidRPr="00713B6C" w:rsidRDefault="00F222E7" w:rsidP="002F08A2">
            <w:pPr>
              <w:pStyle w:val="BodyText"/>
              <w:spacing w:before="40" w:after="40"/>
              <w:jc w:val="center"/>
              <w:rPr>
                <w:lang w:val="en-GB"/>
              </w:rPr>
            </w:pPr>
            <w:r w:rsidRPr="004F69A1">
              <w:rPr>
                <w:lang w:val="en-GB"/>
              </w:rPr>
              <w:t>17</w:t>
            </w:r>
          </w:p>
        </w:tc>
        <w:tc>
          <w:tcPr>
            <w:tcW w:w="1016" w:type="dxa"/>
            <w:vAlign w:val="bottom"/>
          </w:tcPr>
          <w:p w14:paraId="64C20305" w14:textId="05603F5B" w:rsidR="002024CF" w:rsidRPr="00713B6C" w:rsidRDefault="00F222E7" w:rsidP="002F08A2">
            <w:pPr>
              <w:pStyle w:val="BodyText"/>
              <w:spacing w:before="40" w:after="40"/>
              <w:jc w:val="center"/>
              <w:rPr>
                <w:lang w:val="en-GB"/>
              </w:rPr>
            </w:pPr>
            <w:r w:rsidRPr="004F69A1">
              <w:rPr>
                <w:lang w:val="en-GB"/>
              </w:rPr>
              <w:t>30</w:t>
            </w:r>
          </w:p>
        </w:tc>
        <w:tc>
          <w:tcPr>
            <w:tcW w:w="1016" w:type="dxa"/>
            <w:vAlign w:val="bottom"/>
          </w:tcPr>
          <w:p w14:paraId="01FABB99" w14:textId="586B3F87" w:rsidR="002024CF" w:rsidRPr="00713B6C" w:rsidRDefault="00F222E7" w:rsidP="002F08A2">
            <w:pPr>
              <w:pStyle w:val="BodyText"/>
              <w:spacing w:before="40" w:after="40"/>
              <w:jc w:val="center"/>
              <w:rPr>
                <w:lang w:val="en-GB"/>
              </w:rPr>
            </w:pPr>
            <w:r w:rsidRPr="004F69A1">
              <w:rPr>
                <w:lang w:val="en-GB"/>
              </w:rPr>
              <w:t>54</w:t>
            </w:r>
          </w:p>
        </w:tc>
        <w:tc>
          <w:tcPr>
            <w:tcW w:w="1015" w:type="dxa"/>
            <w:vAlign w:val="bottom"/>
          </w:tcPr>
          <w:p w14:paraId="0AFB9BD3" w14:textId="7BB6F5B1" w:rsidR="002024CF" w:rsidRPr="00713B6C" w:rsidRDefault="00F222E7" w:rsidP="002F08A2">
            <w:pPr>
              <w:pStyle w:val="BodyText"/>
              <w:spacing w:before="40" w:after="40"/>
              <w:jc w:val="center"/>
              <w:rPr>
                <w:lang w:val="en-GB"/>
              </w:rPr>
            </w:pPr>
            <w:r w:rsidRPr="004F69A1">
              <w:rPr>
                <w:lang w:val="en-GB"/>
              </w:rPr>
              <w:t>97</w:t>
            </w:r>
          </w:p>
        </w:tc>
        <w:tc>
          <w:tcPr>
            <w:tcW w:w="1016" w:type="dxa"/>
            <w:vAlign w:val="bottom"/>
          </w:tcPr>
          <w:p w14:paraId="7195ACD1" w14:textId="34FC7380" w:rsidR="002024CF" w:rsidRPr="00713B6C" w:rsidRDefault="00F222E7" w:rsidP="002F08A2">
            <w:pPr>
              <w:pStyle w:val="BodyText"/>
              <w:spacing w:before="40" w:after="40"/>
              <w:jc w:val="center"/>
              <w:rPr>
                <w:lang w:val="en-GB"/>
              </w:rPr>
            </w:pPr>
            <w:r w:rsidRPr="004F69A1">
              <w:rPr>
                <w:lang w:val="en-GB"/>
              </w:rPr>
              <w:t>173</w:t>
            </w:r>
          </w:p>
        </w:tc>
        <w:tc>
          <w:tcPr>
            <w:tcW w:w="1016" w:type="dxa"/>
            <w:vAlign w:val="bottom"/>
          </w:tcPr>
          <w:p w14:paraId="1613C37B" w14:textId="53E7B410" w:rsidR="002024CF" w:rsidRPr="00713B6C" w:rsidRDefault="00F222E7" w:rsidP="002F08A2">
            <w:pPr>
              <w:pStyle w:val="BodyText"/>
              <w:spacing w:before="40" w:after="40"/>
              <w:jc w:val="center"/>
              <w:rPr>
                <w:lang w:val="en-GB"/>
              </w:rPr>
            </w:pPr>
            <w:r w:rsidRPr="004F69A1">
              <w:rPr>
                <w:lang w:val="en-GB"/>
              </w:rPr>
              <w:t>310</w:t>
            </w:r>
          </w:p>
        </w:tc>
        <w:tc>
          <w:tcPr>
            <w:tcW w:w="1016" w:type="dxa"/>
            <w:vAlign w:val="bottom"/>
          </w:tcPr>
          <w:p w14:paraId="0F3F1017" w14:textId="7AF3BD59" w:rsidR="002024CF" w:rsidRPr="00713B6C" w:rsidRDefault="00F222E7" w:rsidP="002F08A2">
            <w:pPr>
              <w:pStyle w:val="BodyText"/>
              <w:spacing w:before="40" w:after="40"/>
              <w:jc w:val="center"/>
              <w:rPr>
                <w:lang w:val="en-GB"/>
              </w:rPr>
            </w:pPr>
            <w:r w:rsidRPr="004F69A1">
              <w:rPr>
                <w:lang w:val="en-GB"/>
              </w:rPr>
              <w:t>553</w:t>
            </w:r>
          </w:p>
        </w:tc>
      </w:tr>
      <w:tr w:rsidR="002024CF" w:rsidRPr="009A1793" w14:paraId="2E0C518A" w14:textId="77777777" w:rsidTr="004F69A1">
        <w:trPr>
          <w:trHeight w:val="52"/>
        </w:trPr>
        <w:tc>
          <w:tcPr>
            <w:tcW w:w="1530" w:type="dxa"/>
            <w:tcBorders>
              <w:right w:val="double" w:sz="4" w:space="0" w:color="auto"/>
            </w:tcBorders>
            <w:vAlign w:val="center"/>
            <w:hideMark/>
          </w:tcPr>
          <w:p w14:paraId="0F12FF74" w14:textId="77777777" w:rsidR="002024CF" w:rsidRPr="009A1793" w:rsidRDefault="002024CF" w:rsidP="002F08A2">
            <w:pPr>
              <w:pStyle w:val="BodyText"/>
              <w:spacing w:before="40" w:after="40"/>
              <w:jc w:val="center"/>
            </w:pPr>
            <w:r w:rsidRPr="009A1793">
              <w:t>Estimate [</w:t>
            </w:r>
            <w:r w:rsidRPr="009A1793">
              <w:rPr>
                <w:lang w:val="el-GR"/>
              </w:rPr>
              <w:t>μ</w:t>
            </w:r>
            <w:r w:rsidRPr="009A1793">
              <w:t>s]</w:t>
            </w:r>
          </w:p>
        </w:tc>
        <w:tc>
          <w:tcPr>
            <w:tcW w:w="1015" w:type="dxa"/>
            <w:tcBorders>
              <w:left w:val="double" w:sz="4" w:space="0" w:color="auto"/>
            </w:tcBorders>
            <w:vAlign w:val="bottom"/>
          </w:tcPr>
          <w:p w14:paraId="66DEB28C" w14:textId="5BE33691" w:rsidR="002024CF" w:rsidRPr="009A1793" w:rsidRDefault="002F6D61" w:rsidP="002F08A2">
            <w:pPr>
              <w:pStyle w:val="BodyText"/>
              <w:spacing w:before="40" w:after="40"/>
              <w:jc w:val="center"/>
              <w:rPr>
                <w:lang w:val="en-GB"/>
              </w:rPr>
            </w:pPr>
            <w:r w:rsidRPr="004F69A1">
              <w:rPr>
                <w:lang w:val="en-GB"/>
              </w:rPr>
              <w:t>1214</w:t>
            </w:r>
          </w:p>
        </w:tc>
        <w:tc>
          <w:tcPr>
            <w:tcW w:w="1016" w:type="dxa"/>
            <w:vAlign w:val="bottom"/>
          </w:tcPr>
          <w:p w14:paraId="0874818D" w14:textId="483EF45D" w:rsidR="002024CF" w:rsidRPr="009A1793" w:rsidRDefault="002F6D61" w:rsidP="002F08A2">
            <w:pPr>
              <w:pStyle w:val="BodyText"/>
              <w:spacing w:before="40" w:after="40"/>
              <w:jc w:val="center"/>
              <w:rPr>
                <w:lang w:val="en-GB"/>
              </w:rPr>
            </w:pPr>
            <w:r w:rsidRPr="004F69A1">
              <w:rPr>
                <w:lang w:val="en-GB"/>
              </w:rPr>
              <w:t>1085</w:t>
            </w:r>
          </w:p>
        </w:tc>
        <w:tc>
          <w:tcPr>
            <w:tcW w:w="1016" w:type="dxa"/>
            <w:vAlign w:val="bottom"/>
          </w:tcPr>
          <w:p w14:paraId="789AA5C8" w14:textId="3231799D" w:rsidR="002024CF" w:rsidRPr="009A1793" w:rsidRDefault="002F6D61" w:rsidP="002F08A2">
            <w:pPr>
              <w:pStyle w:val="BodyText"/>
              <w:spacing w:before="40" w:after="40"/>
              <w:jc w:val="center"/>
              <w:rPr>
                <w:lang w:val="en-GB"/>
              </w:rPr>
            </w:pPr>
            <w:r w:rsidRPr="004F69A1">
              <w:rPr>
                <w:lang w:val="en-GB"/>
              </w:rPr>
              <w:t>969</w:t>
            </w:r>
          </w:p>
        </w:tc>
        <w:tc>
          <w:tcPr>
            <w:tcW w:w="1015" w:type="dxa"/>
            <w:vAlign w:val="bottom"/>
          </w:tcPr>
          <w:p w14:paraId="5FD6E643" w14:textId="2F13501B" w:rsidR="002024CF" w:rsidRPr="009A1793" w:rsidRDefault="002F6D61" w:rsidP="002F08A2">
            <w:pPr>
              <w:pStyle w:val="BodyText"/>
              <w:spacing w:before="40" w:after="40"/>
              <w:jc w:val="center"/>
              <w:rPr>
                <w:lang w:val="en-GB"/>
              </w:rPr>
            </w:pPr>
            <w:r w:rsidRPr="004F69A1">
              <w:rPr>
                <w:lang w:val="en-GB"/>
              </w:rPr>
              <w:t>866</w:t>
            </w:r>
          </w:p>
        </w:tc>
        <w:tc>
          <w:tcPr>
            <w:tcW w:w="1016" w:type="dxa"/>
            <w:vAlign w:val="bottom"/>
          </w:tcPr>
          <w:p w14:paraId="524C74E0" w14:textId="595B802B" w:rsidR="002024CF" w:rsidRPr="009A1793" w:rsidRDefault="002F6D61" w:rsidP="002F08A2">
            <w:pPr>
              <w:pStyle w:val="BodyText"/>
              <w:spacing w:before="40" w:after="40"/>
              <w:jc w:val="center"/>
              <w:rPr>
                <w:lang w:val="en-GB"/>
              </w:rPr>
            </w:pPr>
            <w:r w:rsidRPr="004F69A1">
              <w:rPr>
                <w:lang w:val="en-GB"/>
              </w:rPr>
              <w:t>774</w:t>
            </w:r>
          </w:p>
        </w:tc>
        <w:tc>
          <w:tcPr>
            <w:tcW w:w="1016" w:type="dxa"/>
            <w:vAlign w:val="bottom"/>
          </w:tcPr>
          <w:p w14:paraId="5A2C9BBA" w14:textId="0449C32A" w:rsidR="002024CF" w:rsidRPr="009A1793" w:rsidRDefault="002F6D61" w:rsidP="002F08A2">
            <w:pPr>
              <w:pStyle w:val="BodyText"/>
              <w:spacing w:before="40" w:after="40"/>
              <w:jc w:val="center"/>
              <w:rPr>
                <w:lang w:val="en-GB"/>
              </w:rPr>
            </w:pPr>
            <w:r w:rsidRPr="004F69A1">
              <w:rPr>
                <w:lang w:val="en-GB"/>
              </w:rPr>
              <w:t>691</w:t>
            </w:r>
          </w:p>
        </w:tc>
        <w:tc>
          <w:tcPr>
            <w:tcW w:w="1016" w:type="dxa"/>
            <w:vAlign w:val="bottom"/>
          </w:tcPr>
          <w:p w14:paraId="7C5F0D0D" w14:textId="1CD0D596" w:rsidR="002024CF" w:rsidRPr="009A1793" w:rsidRDefault="002F6D61" w:rsidP="002F08A2">
            <w:pPr>
              <w:pStyle w:val="BodyText"/>
              <w:spacing w:before="40" w:after="40"/>
              <w:jc w:val="center"/>
              <w:rPr>
                <w:lang w:val="en-GB"/>
              </w:rPr>
            </w:pPr>
            <w:r w:rsidRPr="004F69A1">
              <w:rPr>
                <w:lang w:val="en-GB"/>
              </w:rPr>
              <w:t>618</w:t>
            </w:r>
          </w:p>
        </w:tc>
      </w:tr>
      <w:tr w:rsidR="002B0E8E" w:rsidRPr="009A1793" w14:paraId="5D796557" w14:textId="77777777" w:rsidTr="004F69A1">
        <w:trPr>
          <w:trHeight w:val="52"/>
        </w:trPr>
        <w:tc>
          <w:tcPr>
            <w:tcW w:w="1530" w:type="dxa"/>
            <w:tcBorders>
              <w:right w:val="double" w:sz="4" w:space="0" w:color="auto"/>
            </w:tcBorders>
            <w:vAlign w:val="center"/>
          </w:tcPr>
          <w:p w14:paraId="329B92EB" w14:textId="79B40F2F" w:rsidR="002B0E8E" w:rsidRPr="009A1793" w:rsidRDefault="002B0E8E" w:rsidP="002B0E8E">
            <w:pPr>
              <w:pStyle w:val="BodyText"/>
              <w:spacing w:before="40" w:after="40"/>
              <w:jc w:val="center"/>
            </w:pPr>
            <w:r w:rsidRPr="00543BA7">
              <w:rPr>
                <w:i/>
                <w:color w:val="000000"/>
                <w:lang w:val="en-GB"/>
              </w:rPr>
              <w:t>Z</w:t>
            </w:r>
            <w:r>
              <w:rPr>
                <w:i/>
                <w:color w:val="000000"/>
                <w:vertAlign w:val="subscript"/>
                <w:lang w:val="en-GB"/>
              </w:rPr>
              <w:t>2</w:t>
            </w:r>
            <w:r w:rsidRPr="00713B6C">
              <w:rPr>
                <w:lang w:val="en-US"/>
              </w:rPr>
              <w:t>[OS]</w:t>
            </w:r>
          </w:p>
        </w:tc>
        <w:tc>
          <w:tcPr>
            <w:tcW w:w="1015" w:type="dxa"/>
            <w:tcBorders>
              <w:left w:val="double" w:sz="4" w:space="0" w:color="auto"/>
            </w:tcBorders>
            <w:vAlign w:val="center"/>
          </w:tcPr>
          <w:p w14:paraId="15601CB6" w14:textId="412599D6" w:rsidR="002B0E8E" w:rsidRPr="009A1793" w:rsidRDefault="002B0E8E" w:rsidP="002B0E8E">
            <w:pPr>
              <w:pStyle w:val="BodyText"/>
              <w:spacing w:before="40" w:after="40"/>
              <w:jc w:val="center"/>
              <w:rPr>
                <w:lang w:val="en-GB"/>
              </w:rPr>
            </w:pPr>
            <w:r>
              <w:rPr>
                <w:b/>
                <w:bCs/>
                <w:lang w:val="en-GB"/>
              </w:rPr>
              <w:t>40</w:t>
            </w:r>
          </w:p>
        </w:tc>
        <w:tc>
          <w:tcPr>
            <w:tcW w:w="1016" w:type="dxa"/>
            <w:vAlign w:val="center"/>
          </w:tcPr>
          <w:p w14:paraId="233A35B4" w14:textId="79C183CC" w:rsidR="002B0E8E" w:rsidRPr="009A1793" w:rsidRDefault="002B0E8E" w:rsidP="002B0E8E">
            <w:pPr>
              <w:pStyle w:val="BodyText"/>
              <w:spacing w:before="40" w:after="40"/>
              <w:jc w:val="center"/>
              <w:rPr>
                <w:lang w:val="en-GB"/>
              </w:rPr>
            </w:pPr>
            <w:r>
              <w:rPr>
                <w:b/>
                <w:bCs/>
                <w:lang w:val="en-GB"/>
              </w:rPr>
              <w:t>72</w:t>
            </w:r>
          </w:p>
        </w:tc>
        <w:tc>
          <w:tcPr>
            <w:tcW w:w="1016" w:type="dxa"/>
            <w:vAlign w:val="center"/>
          </w:tcPr>
          <w:p w14:paraId="0B2B0E17" w14:textId="60D2671E" w:rsidR="002B0E8E" w:rsidRPr="009A1793" w:rsidRDefault="00414DBF" w:rsidP="002B0E8E">
            <w:pPr>
              <w:pStyle w:val="BodyText"/>
              <w:spacing w:before="40" w:after="40"/>
              <w:jc w:val="center"/>
              <w:rPr>
                <w:lang w:val="en-GB"/>
              </w:rPr>
            </w:pPr>
            <w:r>
              <w:rPr>
                <w:b/>
                <w:bCs/>
                <w:lang w:val="en-GB"/>
              </w:rPr>
              <w:t>141</w:t>
            </w:r>
          </w:p>
        </w:tc>
        <w:tc>
          <w:tcPr>
            <w:tcW w:w="1015" w:type="dxa"/>
            <w:vAlign w:val="center"/>
          </w:tcPr>
          <w:p w14:paraId="0DC837B7" w14:textId="300C8514" w:rsidR="002B0E8E" w:rsidRPr="009A1793" w:rsidRDefault="00414DBF" w:rsidP="002B0E8E">
            <w:pPr>
              <w:pStyle w:val="BodyText"/>
              <w:spacing w:before="40" w:after="40"/>
              <w:jc w:val="center"/>
              <w:rPr>
                <w:lang w:val="en-GB"/>
              </w:rPr>
            </w:pPr>
            <w:r>
              <w:rPr>
                <w:b/>
                <w:bCs/>
                <w:lang w:val="en-GB"/>
              </w:rPr>
              <w:t>152</w:t>
            </w:r>
          </w:p>
        </w:tc>
        <w:tc>
          <w:tcPr>
            <w:tcW w:w="1016" w:type="dxa"/>
            <w:vAlign w:val="center"/>
          </w:tcPr>
          <w:p w14:paraId="550E132A" w14:textId="77777777" w:rsidR="002B0E8E" w:rsidRPr="009A1793" w:rsidRDefault="002B0E8E" w:rsidP="002B0E8E">
            <w:pPr>
              <w:pStyle w:val="BodyText"/>
              <w:spacing w:before="40" w:after="40"/>
              <w:jc w:val="center"/>
              <w:rPr>
                <w:lang w:val="en-GB"/>
              </w:rPr>
            </w:pPr>
          </w:p>
        </w:tc>
        <w:tc>
          <w:tcPr>
            <w:tcW w:w="1016" w:type="dxa"/>
            <w:vAlign w:val="bottom"/>
          </w:tcPr>
          <w:p w14:paraId="18020821" w14:textId="77777777" w:rsidR="002B0E8E" w:rsidRPr="009A1793" w:rsidRDefault="002B0E8E" w:rsidP="002B0E8E">
            <w:pPr>
              <w:pStyle w:val="BodyText"/>
              <w:spacing w:before="40" w:after="40"/>
              <w:jc w:val="center"/>
              <w:rPr>
                <w:lang w:val="en-GB"/>
              </w:rPr>
            </w:pPr>
          </w:p>
        </w:tc>
        <w:tc>
          <w:tcPr>
            <w:tcW w:w="1016" w:type="dxa"/>
            <w:vAlign w:val="bottom"/>
          </w:tcPr>
          <w:p w14:paraId="20FE939C" w14:textId="77777777" w:rsidR="002B0E8E" w:rsidRPr="009A1793" w:rsidRDefault="002B0E8E" w:rsidP="002B0E8E">
            <w:pPr>
              <w:pStyle w:val="BodyText"/>
              <w:spacing w:before="40" w:after="40"/>
              <w:jc w:val="center"/>
              <w:rPr>
                <w:lang w:val="en-GB"/>
              </w:rPr>
            </w:pPr>
          </w:p>
        </w:tc>
      </w:tr>
      <w:tr w:rsidR="00682309" w:rsidRPr="009A1793" w14:paraId="7C3E5F5E" w14:textId="77777777" w:rsidTr="004F69A1">
        <w:trPr>
          <w:trHeight w:val="52"/>
        </w:trPr>
        <w:tc>
          <w:tcPr>
            <w:tcW w:w="1530" w:type="dxa"/>
            <w:tcBorders>
              <w:right w:val="double" w:sz="4" w:space="0" w:color="auto"/>
            </w:tcBorders>
            <w:vAlign w:val="center"/>
          </w:tcPr>
          <w:p w14:paraId="5BB79BF4" w14:textId="0EDDB22C" w:rsidR="00682309" w:rsidRPr="00543BA7" w:rsidRDefault="00682309" w:rsidP="00682309">
            <w:pPr>
              <w:pStyle w:val="BodyText"/>
              <w:spacing w:before="40" w:after="40"/>
              <w:jc w:val="center"/>
              <w:rPr>
                <w:i/>
                <w:color w:val="000000"/>
                <w:lang w:val="en-GB"/>
              </w:rPr>
            </w:pPr>
            <w:r w:rsidRPr="00713B6C">
              <w:rPr>
                <w:lang w:val="en-US"/>
              </w:rPr>
              <w:t>Estimate [OS]</w:t>
            </w:r>
          </w:p>
        </w:tc>
        <w:tc>
          <w:tcPr>
            <w:tcW w:w="1015" w:type="dxa"/>
            <w:tcBorders>
              <w:left w:val="double" w:sz="4" w:space="0" w:color="auto"/>
            </w:tcBorders>
            <w:vAlign w:val="bottom"/>
          </w:tcPr>
          <w:p w14:paraId="2DE6C0AD" w14:textId="129E9F3B" w:rsidR="00682309" w:rsidRPr="007A7FD3" w:rsidRDefault="0005328E" w:rsidP="00682309">
            <w:pPr>
              <w:pStyle w:val="BodyText"/>
              <w:spacing w:before="40" w:after="40"/>
              <w:jc w:val="center"/>
              <w:rPr>
                <w:lang w:val="en-GB"/>
              </w:rPr>
            </w:pPr>
            <w:r w:rsidRPr="004F69A1">
              <w:rPr>
                <w:lang w:val="en-GB"/>
              </w:rPr>
              <w:t>50</w:t>
            </w:r>
          </w:p>
        </w:tc>
        <w:tc>
          <w:tcPr>
            <w:tcW w:w="1016" w:type="dxa"/>
            <w:vAlign w:val="bottom"/>
          </w:tcPr>
          <w:p w14:paraId="087A68F2" w14:textId="6A4F55B3" w:rsidR="00682309" w:rsidRPr="007A7FD3" w:rsidRDefault="0005328E" w:rsidP="00682309">
            <w:pPr>
              <w:pStyle w:val="BodyText"/>
              <w:spacing w:before="40" w:after="40"/>
              <w:jc w:val="center"/>
              <w:rPr>
                <w:lang w:val="en-GB"/>
              </w:rPr>
            </w:pPr>
            <w:r w:rsidRPr="004F69A1">
              <w:rPr>
                <w:lang w:val="en-GB"/>
              </w:rPr>
              <w:t>72</w:t>
            </w:r>
          </w:p>
        </w:tc>
        <w:tc>
          <w:tcPr>
            <w:tcW w:w="1016" w:type="dxa"/>
            <w:vAlign w:val="bottom"/>
          </w:tcPr>
          <w:p w14:paraId="5B18B2F3" w14:textId="0097A7DF" w:rsidR="00682309" w:rsidRPr="007A7FD3" w:rsidRDefault="0005328E" w:rsidP="00682309">
            <w:pPr>
              <w:pStyle w:val="BodyText"/>
              <w:spacing w:before="40" w:after="40"/>
              <w:jc w:val="center"/>
              <w:rPr>
                <w:lang w:val="en-GB"/>
              </w:rPr>
            </w:pPr>
            <w:r w:rsidRPr="004F69A1">
              <w:rPr>
                <w:lang w:val="en-GB"/>
              </w:rPr>
              <w:t>105</w:t>
            </w:r>
          </w:p>
        </w:tc>
        <w:tc>
          <w:tcPr>
            <w:tcW w:w="1015" w:type="dxa"/>
            <w:vAlign w:val="bottom"/>
          </w:tcPr>
          <w:p w14:paraId="5D960677" w14:textId="550FC271" w:rsidR="00682309" w:rsidRPr="007A7FD3" w:rsidRDefault="0005328E" w:rsidP="00682309">
            <w:pPr>
              <w:pStyle w:val="BodyText"/>
              <w:spacing w:before="40" w:after="40"/>
              <w:jc w:val="center"/>
              <w:rPr>
                <w:lang w:val="en-GB"/>
              </w:rPr>
            </w:pPr>
            <w:r w:rsidRPr="004F69A1">
              <w:rPr>
                <w:lang w:val="en-GB"/>
              </w:rPr>
              <w:t>152</w:t>
            </w:r>
          </w:p>
        </w:tc>
        <w:tc>
          <w:tcPr>
            <w:tcW w:w="1016" w:type="dxa"/>
            <w:vAlign w:val="bottom"/>
          </w:tcPr>
          <w:p w14:paraId="5F82FC8A" w14:textId="58A35E3D" w:rsidR="00682309" w:rsidRPr="009A1793" w:rsidRDefault="0005328E" w:rsidP="00682309">
            <w:pPr>
              <w:pStyle w:val="BodyText"/>
              <w:spacing w:before="40" w:after="40"/>
              <w:jc w:val="center"/>
              <w:rPr>
                <w:lang w:val="en-GB"/>
              </w:rPr>
            </w:pPr>
            <w:r w:rsidRPr="004F69A1">
              <w:rPr>
                <w:lang w:val="en-GB"/>
              </w:rPr>
              <w:t>220</w:t>
            </w:r>
          </w:p>
        </w:tc>
        <w:tc>
          <w:tcPr>
            <w:tcW w:w="1016" w:type="dxa"/>
            <w:vAlign w:val="bottom"/>
          </w:tcPr>
          <w:p w14:paraId="3F1F16E5" w14:textId="0E6332C3" w:rsidR="00682309" w:rsidRPr="009A1793" w:rsidRDefault="0005328E" w:rsidP="00682309">
            <w:pPr>
              <w:pStyle w:val="BodyText"/>
              <w:spacing w:before="40" w:after="40"/>
              <w:jc w:val="center"/>
              <w:rPr>
                <w:lang w:val="en-GB"/>
              </w:rPr>
            </w:pPr>
            <w:r w:rsidRPr="004F69A1">
              <w:rPr>
                <w:lang w:val="en-GB"/>
              </w:rPr>
              <w:t>319</w:t>
            </w:r>
          </w:p>
        </w:tc>
        <w:tc>
          <w:tcPr>
            <w:tcW w:w="1016" w:type="dxa"/>
            <w:vAlign w:val="bottom"/>
          </w:tcPr>
          <w:p w14:paraId="26BE2416" w14:textId="0E9F2C33" w:rsidR="00682309" w:rsidRPr="009A1793" w:rsidRDefault="0005328E" w:rsidP="00682309">
            <w:pPr>
              <w:pStyle w:val="BodyText"/>
              <w:spacing w:before="40" w:after="40"/>
              <w:jc w:val="center"/>
              <w:rPr>
                <w:lang w:val="en-GB"/>
              </w:rPr>
            </w:pPr>
            <w:r w:rsidRPr="004F69A1">
              <w:rPr>
                <w:lang w:val="en-GB"/>
              </w:rPr>
              <w:t>462</w:t>
            </w:r>
          </w:p>
        </w:tc>
      </w:tr>
      <w:tr w:rsidR="00682309" w:rsidRPr="009A1793" w14:paraId="33F19162" w14:textId="77777777" w:rsidTr="004F69A1">
        <w:trPr>
          <w:trHeight w:val="52"/>
        </w:trPr>
        <w:tc>
          <w:tcPr>
            <w:tcW w:w="1530" w:type="dxa"/>
            <w:tcBorders>
              <w:right w:val="double" w:sz="4" w:space="0" w:color="auto"/>
            </w:tcBorders>
            <w:vAlign w:val="center"/>
          </w:tcPr>
          <w:p w14:paraId="34EFE106" w14:textId="55632F79" w:rsidR="00682309" w:rsidRPr="00713B6C" w:rsidRDefault="00682309" w:rsidP="00682309">
            <w:pPr>
              <w:pStyle w:val="BodyText"/>
              <w:spacing w:before="40" w:after="40"/>
              <w:jc w:val="center"/>
            </w:pPr>
            <w:r w:rsidRPr="009A1793">
              <w:t>Estimate [</w:t>
            </w:r>
            <w:r w:rsidRPr="009A1793">
              <w:rPr>
                <w:lang w:val="el-GR"/>
              </w:rPr>
              <w:t>μ</w:t>
            </w:r>
            <w:r w:rsidRPr="009A1793">
              <w:t>s]</w:t>
            </w:r>
          </w:p>
        </w:tc>
        <w:tc>
          <w:tcPr>
            <w:tcW w:w="1015" w:type="dxa"/>
            <w:tcBorders>
              <w:left w:val="double" w:sz="4" w:space="0" w:color="auto"/>
            </w:tcBorders>
            <w:vAlign w:val="bottom"/>
          </w:tcPr>
          <w:p w14:paraId="719866D6" w14:textId="47F6A78C" w:rsidR="00682309" w:rsidRPr="008472CD" w:rsidRDefault="00351689" w:rsidP="00682309">
            <w:pPr>
              <w:pStyle w:val="BodyText"/>
              <w:spacing w:before="40" w:after="40"/>
              <w:jc w:val="center"/>
              <w:rPr>
                <w:lang w:val="en-GB"/>
              </w:rPr>
            </w:pPr>
            <w:r w:rsidRPr="004F69A1">
              <w:rPr>
                <w:lang w:val="en-GB"/>
              </w:rPr>
              <w:t>3571</w:t>
            </w:r>
          </w:p>
        </w:tc>
        <w:tc>
          <w:tcPr>
            <w:tcW w:w="1016" w:type="dxa"/>
            <w:vAlign w:val="bottom"/>
          </w:tcPr>
          <w:p w14:paraId="7EAE20C4" w14:textId="5C866E63" w:rsidR="00682309" w:rsidRPr="008472CD" w:rsidRDefault="00351689" w:rsidP="00682309">
            <w:pPr>
              <w:pStyle w:val="BodyText"/>
              <w:spacing w:before="40" w:after="40"/>
              <w:jc w:val="center"/>
              <w:rPr>
                <w:lang w:val="en-GB"/>
              </w:rPr>
            </w:pPr>
            <w:r w:rsidRPr="004F69A1">
              <w:rPr>
                <w:lang w:val="en-GB"/>
              </w:rPr>
              <w:t>2587</w:t>
            </w:r>
          </w:p>
        </w:tc>
        <w:tc>
          <w:tcPr>
            <w:tcW w:w="1016" w:type="dxa"/>
            <w:vAlign w:val="bottom"/>
          </w:tcPr>
          <w:p w14:paraId="792BF74F" w14:textId="0BB96AAD" w:rsidR="00682309" w:rsidRPr="008472CD" w:rsidRDefault="00351689" w:rsidP="00682309">
            <w:pPr>
              <w:pStyle w:val="BodyText"/>
              <w:spacing w:before="40" w:after="40"/>
              <w:jc w:val="center"/>
              <w:rPr>
                <w:lang w:val="en-GB"/>
              </w:rPr>
            </w:pPr>
            <w:r w:rsidRPr="004F69A1">
              <w:rPr>
                <w:lang w:val="en-GB"/>
              </w:rPr>
              <w:t>1874</w:t>
            </w:r>
          </w:p>
        </w:tc>
        <w:tc>
          <w:tcPr>
            <w:tcW w:w="1015" w:type="dxa"/>
            <w:vAlign w:val="bottom"/>
          </w:tcPr>
          <w:p w14:paraId="26BB987F" w14:textId="633E3341" w:rsidR="00682309" w:rsidRPr="008472CD" w:rsidRDefault="00351689" w:rsidP="00682309">
            <w:pPr>
              <w:pStyle w:val="BodyText"/>
              <w:spacing w:before="40" w:after="40"/>
              <w:jc w:val="center"/>
              <w:rPr>
                <w:lang w:val="en-GB"/>
              </w:rPr>
            </w:pPr>
            <w:r w:rsidRPr="004F69A1">
              <w:rPr>
                <w:lang w:val="en-GB"/>
              </w:rPr>
              <w:t>1357</w:t>
            </w:r>
          </w:p>
        </w:tc>
        <w:tc>
          <w:tcPr>
            <w:tcW w:w="1016" w:type="dxa"/>
            <w:vAlign w:val="bottom"/>
          </w:tcPr>
          <w:p w14:paraId="05D6114A" w14:textId="64413E98" w:rsidR="00682309" w:rsidRPr="009A1793" w:rsidRDefault="00351689" w:rsidP="00682309">
            <w:pPr>
              <w:pStyle w:val="BodyText"/>
              <w:spacing w:before="40" w:after="40"/>
              <w:jc w:val="center"/>
              <w:rPr>
                <w:lang w:val="en-GB"/>
              </w:rPr>
            </w:pPr>
            <w:r w:rsidRPr="004F69A1">
              <w:rPr>
                <w:lang w:val="en-GB"/>
              </w:rPr>
              <w:t>983</w:t>
            </w:r>
          </w:p>
        </w:tc>
        <w:tc>
          <w:tcPr>
            <w:tcW w:w="1016" w:type="dxa"/>
            <w:vAlign w:val="bottom"/>
          </w:tcPr>
          <w:p w14:paraId="0061EC80" w14:textId="360B4255" w:rsidR="00682309" w:rsidRPr="009A1793" w:rsidRDefault="00351689" w:rsidP="00682309">
            <w:pPr>
              <w:pStyle w:val="BodyText"/>
              <w:spacing w:before="40" w:after="40"/>
              <w:jc w:val="center"/>
              <w:rPr>
                <w:lang w:val="en-GB"/>
              </w:rPr>
            </w:pPr>
            <w:r w:rsidRPr="004F69A1">
              <w:rPr>
                <w:lang w:val="en-GB"/>
              </w:rPr>
              <w:t>712</w:t>
            </w:r>
          </w:p>
        </w:tc>
        <w:tc>
          <w:tcPr>
            <w:tcW w:w="1016" w:type="dxa"/>
            <w:vAlign w:val="bottom"/>
          </w:tcPr>
          <w:p w14:paraId="47BA88D9" w14:textId="68FC8D0B" w:rsidR="00682309" w:rsidRPr="009A1793" w:rsidRDefault="00351689" w:rsidP="00682309">
            <w:pPr>
              <w:pStyle w:val="BodyText"/>
              <w:spacing w:before="40" w:after="40"/>
              <w:jc w:val="center"/>
              <w:rPr>
                <w:lang w:val="en-GB"/>
              </w:rPr>
            </w:pPr>
            <w:r w:rsidRPr="004F69A1">
              <w:rPr>
                <w:lang w:val="en-GB"/>
              </w:rPr>
              <w:t>516</w:t>
            </w:r>
          </w:p>
        </w:tc>
      </w:tr>
    </w:tbl>
    <w:p w14:paraId="2633DEC1" w14:textId="77777777" w:rsidR="00F07799" w:rsidRDefault="00F07799" w:rsidP="008A2C71">
      <w:pPr>
        <w:pStyle w:val="BodyText"/>
      </w:pPr>
    </w:p>
    <w:p w14:paraId="530B90BB" w14:textId="7A86F362" w:rsidR="00470368" w:rsidRDefault="00345569" w:rsidP="008A2C71">
      <w:pPr>
        <w:pStyle w:val="BodyText"/>
      </w:pPr>
      <w:r>
        <w:t xml:space="preserve">These processing latencies, in terms of number of symbols/slots, </w:t>
      </w:r>
      <w:r w:rsidR="00C30AC7">
        <w:t xml:space="preserve">for the large SCSs </w:t>
      </w:r>
      <w:r>
        <w:t xml:space="preserve">far exceed those in Rel-15, whose low latencies guide the hardware and software implementations of the </w:t>
      </w:r>
      <w:proofErr w:type="spellStart"/>
      <w:r>
        <w:t>gNBs</w:t>
      </w:r>
      <w:proofErr w:type="spellEnd"/>
      <w:r>
        <w:t xml:space="preserve"> and UEs.</w:t>
      </w:r>
      <w:r w:rsidR="00EE100B">
        <w:t xml:space="preserve"> </w:t>
      </w:r>
      <w:r>
        <w:t xml:space="preserve">Furthermore, comparing the system design and implementation differences between LTE-LAA and NR-U, it becomes rather clear that the low NR latencies in HARQ feedback and PUSCH scheduling present significant advantages in the unlicensed band operations. </w:t>
      </w:r>
      <w:r w:rsidR="00D20BC5">
        <w:t xml:space="preserve">One of the main advantages of operating in 60GHz spectrum is the large bandwidth that can be utilized. </w:t>
      </w:r>
      <w:r w:rsidR="00FC2C65">
        <w:t>However</w:t>
      </w:r>
      <w:r w:rsidR="00D20BC5">
        <w:t xml:space="preserve">, with the very limited number of HARQ processes and large processing delays, the system performance can be quite restricted. </w:t>
      </w:r>
      <w:r w:rsidR="008A2C71">
        <w:t>To deal with such large increase in processing latencies,</w:t>
      </w:r>
      <w:r w:rsidR="00EE100B">
        <w:t xml:space="preserve"> </w:t>
      </w:r>
      <w:r w:rsidR="008A2C71">
        <w:t xml:space="preserve">parts of the software and hardware implementations need to be revisited or even replaced. </w:t>
      </w:r>
    </w:p>
    <w:p w14:paraId="382E08D8" w14:textId="77777777" w:rsidR="00470368" w:rsidRDefault="00470368" w:rsidP="008A2C71">
      <w:pPr>
        <w:pStyle w:val="BodyText"/>
      </w:pPr>
    </w:p>
    <w:p w14:paraId="6405D24D" w14:textId="74A1FE36" w:rsidR="00F612D8" w:rsidRDefault="000462A6" w:rsidP="00F612D8">
      <w:pPr>
        <w:pStyle w:val="Observation"/>
      </w:pPr>
      <w:bookmarkStart w:id="177" w:name="_Toc53775923"/>
      <w:r>
        <w:t>The</w:t>
      </w:r>
      <w:r w:rsidR="00F750DF" w:rsidDel="000462A6">
        <w:t xml:space="preserve"> </w:t>
      </w:r>
      <w:r w:rsidR="00F750DF">
        <w:t xml:space="preserve">times provisioned for UE processing </w:t>
      </w:r>
      <w:r w:rsidR="00F750DF" w:rsidRPr="0035235B">
        <w:t>grow exponentially</w:t>
      </w:r>
      <w:r w:rsidR="00F750DF">
        <w:t xml:space="preserve"> with the numerology</w:t>
      </w:r>
      <w:r w:rsidR="00F612D8">
        <w:t>.</w:t>
      </w:r>
      <w:r w:rsidR="00F750DF">
        <w:t xml:space="preserve"> </w:t>
      </w:r>
      <w:r w:rsidR="0016638C">
        <w:t xml:space="preserve">Large processing latencies </w:t>
      </w:r>
      <w:r w:rsidR="00163DD8">
        <w:t>restrict</w:t>
      </w:r>
      <w:r w:rsidR="00ED0C2D">
        <w:t xml:space="preserve"> the achievable throughputs</w:t>
      </w:r>
      <w:r w:rsidR="001650DE">
        <w:t xml:space="preserve">, defeating the purpose of enabling </w:t>
      </w:r>
      <w:r w:rsidR="0086606E">
        <w:t xml:space="preserve">large bandwidths </w:t>
      </w:r>
      <w:r w:rsidR="00872FD7">
        <w:t xml:space="preserve">with </w:t>
      </w:r>
      <w:r w:rsidR="00232451">
        <w:t xml:space="preserve">large </w:t>
      </w:r>
      <w:r w:rsidR="007D6551">
        <w:t>sub-carrier spacing</w:t>
      </w:r>
      <w:r w:rsidR="00974F7C">
        <w:t>s</w:t>
      </w:r>
      <w:r w:rsidR="007D6551">
        <w:t>.</w:t>
      </w:r>
      <w:bookmarkEnd w:id="177"/>
    </w:p>
    <w:p w14:paraId="59F6F4D2" w14:textId="3DE5CC91" w:rsidR="00293E61" w:rsidRDefault="00293E61" w:rsidP="008A2C71">
      <w:pPr>
        <w:pStyle w:val="BodyText"/>
      </w:pPr>
    </w:p>
    <w:p w14:paraId="20F310E0" w14:textId="2061FD91" w:rsidR="008A2C71" w:rsidRPr="00BB4701" w:rsidRDefault="008A2C71" w:rsidP="008A2C71">
      <w:pPr>
        <w:pStyle w:val="BodyText"/>
      </w:pPr>
      <w:r>
        <w:t xml:space="preserve">Consider further the UE PDCCH processing capabilities specified in Section 10.1 of </w:t>
      </w:r>
      <w:r>
        <w:fldChar w:fldCharType="begin"/>
      </w:r>
      <w:r>
        <w:instrText xml:space="preserve"> REF _Ref39589635 \r \h </w:instrText>
      </w:r>
      <w:r>
        <w:fldChar w:fldCharType="separate"/>
      </w:r>
      <w:r w:rsidR="00BE31F7">
        <w:t>[13]</w:t>
      </w:r>
      <w:r>
        <w:fldChar w:fldCharType="end"/>
      </w:r>
      <w:r>
        <w:t xml:space="preserve"> in terms of number of blind decodes in Table 10.1-2 and number of CCEs in Table 10.1-3. For both sets of PDCCH processing capabilities, the quantities </w:t>
      </w:r>
      <w:r w:rsidRPr="00085F74">
        <w:rPr>
          <w:u w:val="single"/>
        </w:rPr>
        <w:t xml:space="preserve">shrink </w:t>
      </w:r>
      <w:r w:rsidRPr="00FC21A3">
        <w:rPr>
          <w:u w:val="single"/>
        </w:rPr>
        <w:t>exponentially</w:t>
      </w:r>
      <w:r>
        <w:t xml:space="preserve"> with the numerologies. Extrapolating from these numbers, </w:t>
      </w:r>
      <w:r w:rsidRPr="00B73F5F">
        <w:rPr>
          <w:b/>
        </w:rPr>
        <w:t xml:space="preserve">there are then doubts on whether the UE operating with a SCS </w:t>
      </w:r>
      <w:r w:rsidR="00AD17EB" w:rsidRPr="00B73F5F">
        <w:rPr>
          <w:b/>
          <w:bCs/>
        </w:rPr>
        <w:t>such as</w:t>
      </w:r>
      <w:r w:rsidRPr="00B73F5F">
        <w:rPr>
          <w:b/>
        </w:rPr>
        <w:t xml:space="preserve"> 960 kHz SCS can support even one AL-16 PDCCH or the default number of candidates for monitoring the Type0A-PDCCH CSS</w:t>
      </w:r>
      <w:r>
        <w:t xml:space="preserve"> specified in Table 10.1-1.</w:t>
      </w:r>
    </w:p>
    <w:p w14:paraId="27DB3200" w14:textId="77777777" w:rsidR="008A2C71" w:rsidRPr="00B916EC" w:rsidRDefault="3350CE7D" w:rsidP="004F69A1">
      <w:pPr>
        <w:pStyle w:val="TH"/>
        <w:jc w:val="both"/>
      </w:pPr>
      <w:r>
        <w:lastRenderedPageBreak/>
        <w:t>Table 10.1-2</w:t>
      </w:r>
      <w:r w:rsidRPr="00B916EC">
        <w:t xml:space="preserve">: </w:t>
      </w:r>
      <w:r>
        <w:t xml:space="preserve">Maximum number </w:t>
      </w:r>
      <w:r w:rsidR="008A2C71">
        <w:rPr>
          <w:noProof/>
          <w:position w:val="-10"/>
        </w:rPr>
        <w:drawing>
          <wp:inline distT="0" distB="0" distL="0" distR="0" wp14:anchorId="0B4FF287" wp14:editId="1517D620">
            <wp:extent cx="552450" cy="24130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52450" cy="241300"/>
                    </a:xfrm>
                    <a:prstGeom prst="rect">
                      <a:avLst/>
                    </a:prstGeom>
                    <a:noFill/>
                    <a:ln>
                      <a:noFill/>
                    </a:ln>
                  </pic:spPr>
                </pic:pic>
              </a:graphicData>
            </a:graphic>
          </wp:inline>
        </w:drawing>
      </w:r>
      <w:r>
        <w:t xml:space="preserve"> of monitored PDCCH candidates per slot for a DL BWP with SCS configuration </w:t>
      </w:r>
      <w:r w:rsidR="008A2C71">
        <w:rPr>
          <w:noProof/>
          <w:position w:val="-10"/>
        </w:rPr>
        <w:drawing>
          <wp:inline distT="0" distB="0" distL="0" distR="0" wp14:anchorId="4E7E3C20" wp14:editId="5BD581CC">
            <wp:extent cx="736600" cy="1841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36600" cy="184150"/>
                    </a:xfrm>
                    <a:prstGeom prst="rect">
                      <a:avLst/>
                    </a:prstGeom>
                    <a:noFill/>
                    <a:ln>
                      <a:noFill/>
                    </a:ln>
                  </pic:spPr>
                </pic:pic>
              </a:graphicData>
            </a:graphic>
          </wp:inline>
        </w:drawing>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8A2C71" w:rsidRPr="00B916EC" w14:paraId="3062D2BC" w14:textId="77777777" w:rsidTr="470F980A">
        <w:trPr>
          <w:cantSplit/>
          <w:jc w:val="center"/>
        </w:trPr>
        <w:tc>
          <w:tcPr>
            <w:tcW w:w="1465" w:type="dxa"/>
            <w:shd w:val="clear" w:color="auto" w:fill="E0E0E0"/>
            <w:vAlign w:val="center"/>
          </w:tcPr>
          <w:p w14:paraId="1F19EE90" w14:textId="77777777" w:rsidR="008A2C71" w:rsidRPr="00B916EC" w:rsidRDefault="008A2C71" w:rsidP="00AC1B06">
            <w:pPr>
              <w:pStyle w:val="TAH"/>
              <w:rPr>
                <w:rFonts w:ascii="Times New Roman" w:hAnsi="Times New Roman"/>
                <w:sz w:val="20"/>
              </w:rPr>
            </w:pPr>
            <w:r>
              <w:rPr>
                <w:noProof/>
                <w:position w:val="-10"/>
              </w:rPr>
              <w:drawing>
                <wp:inline distT="0" distB="0" distL="0" distR="0" wp14:anchorId="28E157B6" wp14:editId="67EEAA78">
                  <wp:extent cx="184150" cy="18415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00" w:type="dxa"/>
            <w:shd w:val="clear" w:color="auto" w:fill="E0E0E0"/>
            <w:vAlign w:val="center"/>
          </w:tcPr>
          <w:p w14:paraId="40E1C582" w14:textId="77777777" w:rsidR="008A2C71" w:rsidRPr="00B916EC" w:rsidRDefault="3350CE7D" w:rsidP="00AC1B06">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8A2C71">
              <w:rPr>
                <w:noProof/>
                <w:position w:val="-10"/>
              </w:rPr>
              <w:drawing>
                <wp:inline distT="0" distB="0" distL="0" distR="0" wp14:anchorId="4A0EB721" wp14:editId="3194384B">
                  <wp:extent cx="552450" cy="2476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p>
        </w:tc>
      </w:tr>
      <w:tr w:rsidR="008A2C71" w:rsidRPr="00B916EC" w14:paraId="24F32D9F" w14:textId="77777777" w:rsidTr="470F980A">
        <w:trPr>
          <w:cantSplit/>
          <w:jc w:val="center"/>
        </w:trPr>
        <w:tc>
          <w:tcPr>
            <w:tcW w:w="1465" w:type="dxa"/>
            <w:vAlign w:val="center"/>
          </w:tcPr>
          <w:p w14:paraId="5A3B4D36" w14:textId="77777777" w:rsidR="008A2C71" w:rsidRPr="00B916EC" w:rsidRDefault="008A2C71" w:rsidP="00AC1B06">
            <w:pPr>
              <w:pStyle w:val="TAC"/>
            </w:pPr>
            <w:r>
              <w:t>0</w:t>
            </w:r>
          </w:p>
        </w:tc>
        <w:tc>
          <w:tcPr>
            <w:tcW w:w="7800" w:type="dxa"/>
            <w:vAlign w:val="center"/>
          </w:tcPr>
          <w:p w14:paraId="300E056F" w14:textId="77777777" w:rsidR="008A2C71" w:rsidRPr="00B916EC" w:rsidRDefault="008A2C71" w:rsidP="00AC1B06">
            <w:pPr>
              <w:pStyle w:val="TAC"/>
            </w:pPr>
            <w:r w:rsidRPr="00B916EC">
              <w:t>4</w:t>
            </w:r>
            <w:r>
              <w:t>4</w:t>
            </w:r>
          </w:p>
        </w:tc>
      </w:tr>
      <w:tr w:rsidR="008A2C71" w:rsidRPr="00B916EC" w14:paraId="4854A80E" w14:textId="77777777" w:rsidTr="470F980A">
        <w:trPr>
          <w:cantSplit/>
          <w:jc w:val="center"/>
        </w:trPr>
        <w:tc>
          <w:tcPr>
            <w:tcW w:w="1465" w:type="dxa"/>
            <w:vAlign w:val="center"/>
          </w:tcPr>
          <w:p w14:paraId="2029EC61" w14:textId="77777777" w:rsidR="008A2C71" w:rsidRPr="00B916EC" w:rsidRDefault="008A2C71" w:rsidP="00AC1B06">
            <w:pPr>
              <w:pStyle w:val="TAC"/>
            </w:pPr>
            <w:r>
              <w:t>1</w:t>
            </w:r>
          </w:p>
        </w:tc>
        <w:tc>
          <w:tcPr>
            <w:tcW w:w="7800" w:type="dxa"/>
            <w:vAlign w:val="center"/>
          </w:tcPr>
          <w:p w14:paraId="035E00E3" w14:textId="77777777" w:rsidR="008A2C71" w:rsidRPr="00B916EC" w:rsidRDefault="008A2C71" w:rsidP="00AC1B06">
            <w:pPr>
              <w:pStyle w:val="TAC"/>
            </w:pPr>
            <w:r>
              <w:t>36</w:t>
            </w:r>
          </w:p>
        </w:tc>
      </w:tr>
      <w:tr w:rsidR="008A2C71" w:rsidRPr="00B916EC" w14:paraId="1BF9B066" w14:textId="77777777" w:rsidTr="470F980A">
        <w:trPr>
          <w:cantSplit/>
          <w:jc w:val="center"/>
        </w:trPr>
        <w:tc>
          <w:tcPr>
            <w:tcW w:w="1465" w:type="dxa"/>
            <w:vAlign w:val="center"/>
          </w:tcPr>
          <w:p w14:paraId="72C005A3" w14:textId="77777777" w:rsidR="008A2C71" w:rsidRPr="00B916EC" w:rsidRDefault="008A2C71" w:rsidP="00AC1B06">
            <w:pPr>
              <w:pStyle w:val="TAC"/>
            </w:pPr>
            <w:r>
              <w:t>2</w:t>
            </w:r>
          </w:p>
        </w:tc>
        <w:tc>
          <w:tcPr>
            <w:tcW w:w="7800" w:type="dxa"/>
            <w:vAlign w:val="center"/>
          </w:tcPr>
          <w:p w14:paraId="4BA53547" w14:textId="77777777" w:rsidR="008A2C71" w:rsidRPr="00B916EC" w:rsidRDefault="008A2C71" w:rsidP="00AC1B06">
            <w:pPr>
              <w:pStyle w:val="TAC"/>
            </w:pPr>
            <w:r>
              <w:t>22</w:t>
            </w:r>
          </w:p>
        </w:tc>
      </w:tr>
      <w:tr w:rsidR="008A2C71" w:rsidRPr="00B916EC" w14:paraId="43DEFE3D" w14:textId="77777777" w:rsidTr="470F980A">
        <w:trPr>
          <w:cantSplit/>
          <w:jc w:val="center"/>
        </w:trPr>
        <w:tc>
          <w:tcPr>
            <w:tcW w:w="1465" w:type="dxa"/>
            <w:vAlign w:val="center"/>
          </w:tcPr>
          <w:p w14:paraId="54F0F718" w14:textId="77777777" w:rsidR="008A2C71" w:rsidRDefault="008A2C71" w:rsidP="00AC1B06">
            <w:pPr>
              <w:pStyle w:val="TAC"/>
            </w:pPr>
            <w:r>
              <w:t>3</w:t>
            </w:r>
          </w:p>
        </w:tc>
        <w:tc>
          <w:tcPr>
            <w:tcW w:w="7800" w:type="dxa"/>
            <w:vAlign w:val="center"/>
          </w:tcPr>
          <w:p w14:paraId="3B443CD8" w14:textId="77777777" w:rsidR="008A2C71" w:rsidRDefault="008A2C71" w:rsidP="00AC1B06">
            <w:pPr>
              <w:pStyle w:val="TAC"/>
            </w:pPr>
            <w:r>
              <w:t>20</w:t>
            </w:r>
          </w:p>
        </w:tc>
      </w:tr>
    </w:tbl>
    <w:p w14:paraId="5CCC46D8" w14:textId="77777777" w:rsidR="008A2C71" w:rsidRDefault="008A2C71" w:rsidP="008A2C71">
      <w:pPr>
        <w:pStyle w:val="BodyText"/>
      </w:pPr>
    </w:p>
    <w:p w14:paraId="23C6C0C2" w14:textId="77777777" w:rsidR="008A2C71" w:rsidRPr="00B916EC" w:rsidRDefault="3350CE7D" w:rsidP="004F69A1">
      <w:pPr>
        <w:pStyle w:val="TH"/>
        <w:jc w:val="both"/>
      </w:pPr>
      <w:r>
        <w:t>Table 10.1-3</w:t>
      </w:r>
      <w:r w:rsidRPr="00B916EC">
        <w:t xml:space="preserve">: </w:t>
      </w:r>
      <w:r>
        <w:t xml:space="preserve">Maximum number </w:t>
      </w:r>
      <w:r w:rsidR="008A2C71">
        <w:rPr>
          <w:noProof/>
          <w:position w:val="-10"/>
        </w:rPr>
        <w:drawing>
          <wp:inline distT="0" distB="0" distL="0" distR="0" wp14:anchorId="1E405DC7" wp14:editId="265A6E8A">
            <wp:extent cx="488950" cy="24130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950" cy="241300"/>
                    </a:xfrm>
                    <a:prstGeom prst="rect">
                      <a:avLst/>
                    </a:prstGeom>
                    <a:noFill/>
                    <a:ln>
                      <a:noFill/>
                    </a:ln>
                  </pic:spPr>
                </pic:pic>
              </a:graphicData>
            </a:graphic>
          </wp:inline>
        </w:drawing>
      </w:r>
      <w:r>
        <w:t xml:space="preserve"> of non-overlapped CCEs per slot for a DL BWP with SCS configuration </w:t>
      </w:r>
      <w:r w:rsidR="008A2C71">
        <w:rPr>
          <w:noProof/>
          <w:position w:val="-10"/>
        </w:rPr>
        <w:drawing>
          <wp:inline distT="0" distB="0" distL="0" distR="0" wp14:anchorId="764F7667" wp14:editId="617E3830">
            <wp:extent cx="736600" cy="18415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736600" cy="184150"/>
                    </a:xfrm>
                    <a:prstGeom prst="rect">
                      <a:avLst/>
                    </a:prstGeom>
                    <a:noFill/>
                    <a:ln>
                      <a:noFill/>
                    </a:ln>
                  </pic:spPr>
                </pic:pic>
              </a:graphicData>
            </a:graphic>
          </wp:inline>
        </w:drawing>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8A2C71" w:rsidRPr="00BB208D" w14:paraId="0E53CAB9" w14:textId="77777777" w:rsidTr="470F980A">
        <w:trPr>
          <w:cantSplit/>
          <w:jc w:val="center"/>
        </w:trPr>
        <w:tc>
          <w:tcPr>
            <w:tcW w:w="1465" w:type="dxa"/>
            <w:shd w:val="clear" w:color="auto" w:fill="E0E0E0"/>
            <w:vAlign w:val="center"/>
          </w:tcPr>
          <w:p w14:paraId="1ADDA8B9" w14:textId="77777777" w:rsidR="008A2C71" w:rsidRPr="00B916EC" w:rsidRDefault="008A2C71" w:rsidP="00AC1B06">
            <w:pPr>
              <w:pStyle w:val="TAH"/>
              <w:rPr>
                <w:rFonts w:ascii="Times New Roman" w:hAnsi="Times New Roman"/>
                <w:sz w:val="20"/>
              </w:rPr>
            </w:pPr>
            <w:r>
              <w:rPr>
                <w:noProof/>
                <w:position w:val="-10"/>
              </w:rPr>
              <w:drawing>
                <wp:inline distT="0" distB="0" distL="0" distR="0" wp14:anchorId="423E837F" wp14:editId="734774DA">
                  <wp:extent cx="184150" cy="18415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170" w:type="dxa"/>
            <w:shd w:val="clear" w:color="auto" w:fill="E0E0E0"/>
            <w:vAlign w:val="center"/>
          </w:tcPr>
          <w:p w14:paraId="449E774E" w14:textId="77777777" w:rsidR="008A2C71" w:rsidRPr="00B916EC" w:rsidRDefault="3350CE7D" w:rsidP="00AC1B06">
            <w:pPr>
              <w:pStyle w:val="TAH"/>
              <w:rPr>
                <w:rFonts w:ascii="Times New Roman" w:hAnsi="Times New Roman"/>
                <w:sz w:val="20"/>
              </w:rPr>
            </w:pPr>
            <w:r>
              <w:t>Maximum n</w:t>
            </w:r>
            <w:r w:rsidRPr="00B916EC">
              <w:t xml:space="preserve">umber of </w:t>
            </w:r>
            <w:r>
              <w:t xml:space="preserve">non-overlapped CCEs per slot and per serving cell </w:t>
            </w:r>
            <w:r w:rsidR="008A2C71">
              <w:rPr>
                <w:noProof/>
                <w:position w:val="-10"/>
              </w:rPr>
              <w:drawing>
                <wp:inline distT="0" distB="0" distL="0" distR="0" wp14:anchorId="175AC79C" wp14:editId="10A85B41">
                  <wp:extent cx="488950" cy="24765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488950" cy="247650"/>
                          </a:xfrm>
                          <a:prstGeom prst="rect">
                            <a:avLst/>
                          </a:prstGeom>
                          <a:noFill/>
                          <a:ln>
                            <a:noFill/>
                          </a:ln>
                        </pic:spPr>
                      </pic:pic>
                    </a:graphicData>
                  </a:graphic>
                </wp:inline>
              </w:drawing>
            </w:r>
          </w:p>
        </w:tc>
      </w:tr>
      <w:tr w:rsidR="008A2C71" w:rsidRPr="00BB208D" w14:paraId="24016C7C" w14:textId="77777777" w:rsidTr="470F980A">
        <w:trPr>
          <w:cantSplit/>
          <w:jc w:val="center"/>
        </w:trPr>
        <w:tc>
          <w:tcPr>
            <w:tcW w:w="1465" w:type="dxa"/>
            <w:vAlign w:val="center"/>
          </w:tcPr>
          <w:p w14:paraId="3F94D773" w14:textId="77777777" w:rsidR="008A2C71" w:rsidRPr="00B916EC" w:rsidRDefault="008A2C71" w:rsidP="00AC1B06">
            <w:pPr>
              <w:pStyle w:val="TAC"/>
            </w:pPr>
            <w:r>
              <w:t>0</w:t>
            </w:r>
          </w:p>
        </w:tc>
        <w:tc>
          <w:tcPr>
            <w:tcW w:w="7170" w:type="dxa"/>
            <w:vAlign w:val="center"/>
          </w:tcPr>
          <w:p w14:paraId="4C1A321D" w14:textId="77777777" w:rsidR="008A2C71" w:rsidRPr="00B916EC" w:rsidRDefault="008A2C71" w:rsidP="00AC1B06">
            <w:pPr>
              <w:pStyle w:val="TAC"/>
            </w:pPr>
            <w:r>
              <w:t>56</w:t>
            </w:r>
          </w:p>
        </w:tc>
      </w:tr>
      <w:tr w:rsidR="008A2C71" w:rsidRPr="00BB208D" w14:paraId="02966513" w14:textId="77777777" w:rsidTr="470F980A">
        <w:trPr>
          <w:cantSplit/>
          <w:jc w:val="center"/>
        </w:trPr>
        <w:tc>
          <w:tcPr>
            <w:tcW w:w="1465" w:type="dxa"/>
            <w:vAlign w:val="center"/>
          </w:tcPr>
          <w:p w14:paraId="65ABA4BD" w14:textId="77777777" w:rsidR="008A2C71" w:rsidRPr="00B916EC" w:rsidRDefault="008A2C71" w:rsidP="00AC1B06">
            <w:pPr>
              <w:pStyle w:val="TAC"/>
            </w:pPr>
            <w:r>
              <w:t>1</w:t>
            </w:r>
          </w:p>
        </w:tc>
        <w:tc>
          <w:tcPr>
            <w:tcW w:w="7170" w:type="dxa"/>
            <w:vAlign w:val="center"/>
          </w:tcPr>
          <w:p w14:paraId="04DBE2BF" w14:textId="77777777" w:rsidR="008A2C71" w:rsidRPr="00B916EC" w:rsidRDefault="008A2C71" w:rsidP="00AC1B06">
            <w:pPr>
              <w:pStyle w:val="TAC"/>
            </w:pPr>
            <w:r>
              <w:t>56</w:t>
            </w:r>
          </w:p>
        </w:tc>
      </w:tr>
      <w:tr w:rsidR="008A2C71" w:rsidRPr="00BB208D" w14:paraId="275085D5" w14:textId="77777777" w:rsidTr="470F980A">
        <w:trPr>
          <w:cantSplit/>
          <w:jc w:val="center"/>
        </w:trPr>
        <w:tc>
          <w:tcPr>
            <w:tcW w:w="1465" w:type="dxa"/>
            <w:vAlign w:val="center"/>
          </w:tcPr>
          <w:p w14:paraId="5EB03968" w14:textId="77777777" w:rsidR="008A2C71" w:rsidRPr="00B916EC" w:rsidRDefault="008A2C71" w:rsidP="00AC1B06">
            <w:pPr>
              <w:pStyle w:val="TAC"/>
            </w:pPr>
            <w:r>
              <w:t>2</w:t>
            </w:r>
          </w:p>
        </w:tc>
        <w:tc>
          <w:tcPr>
            <w:tcW w:w="7170" w:type="dxa"/>
            <w:vAlign w:val="center"/>
          </w:tcPr>
          <w:p w14:paraId="29972AC5" w14:textId="77777777" w:rsidR="008A2C71" w:rsidRPr="00B916EC" w:rsidRDefault="008A2C71" w:rsidP="00AC1B06">
            <w:pPr>
              <w:pStyle w:val="TAC"/>
            </w:pPr>
            <w:r>
              <w:t>48</w:t>
            </w:r>
          </w:p>
        </w:tc>
      </w:tr>
      <w:tr w:rsidR="008A2C71" w:rsidRPr="00BB208D" w14:paraId="43DE5803" w14:textId="77777777" w:rsidTr="470F980A">
        <w:trPr>
          <w:cantSplit/>
          <w:jc w:val="center"/>
        </w:trPr>
        <w:tc>
          <w:tcPr>
            <w:tcW w:w="1465" w:type="dxa"/>
            <w:vAlign w:val="center"/>
          </w:tcPr>
          <w:p w14:paraId="572B140B" w14:textId="77777777" w:rsidR="008A2C71" w:rsidRDefault="008A2C71" w:rsidP="00AC1B06">
            <w:pPr>
              <w:pStyle w:val="TAC"/>
            </w:pPr>
            <w:r>
              <w:t>3</w:t>
            </w:r>
          </w:p>
        </w:tc>
        <w:tc>
          <w:tcPr>
            <w:tcW w:w="7170" w:type="dxa"/>
            <w:vAlign w:val="center"/>
          </w:tcPr>
          <w:p w14:paraId="2AACD7C5" w14:textId="77777777" w:rsidR="008A2C71" w:rsidRDefault="008A2C71" w:rsidP="00AC1B06">
            <w:pPr>
              <w:pStyle w:val="TAC"/>
            </w:pPr>
            <w:r>
              <w:t>32</w:t>
            </w:r>
          </w:p>
        </w:tc>
      </w:tr>
    </w:tbl>
    <w:p w14:paraId="43E354D0" w14:textId="77777777" w:rsidR="008A2C71" w:rsidRDefault="008A2C71" w:rsidP="008A2C71">
      <w:pPr>
        <w:pStyle w:val="BodyText"/>
      </w:pPr>
    </w:p>
    <w:p w14:paraId="033994B8" w14:textId="77777777" w:rsidR="008A2C71" w:rsidRPr="00B916EC" w:rsidRDefault="008A2C71" w:rsidP="004F69A1">
      <w:pPr>
        <w:pStyle w:val="TH"/>
        <w:jc w:val="both"/>
      </w:pPr>
      <w:r w:rsidRPr="00B916EC">
        <w:t xml:space="preserve">Table 10.1-1: CCE aggregation levels and </w:t>
      </w:r>
      <w:r>
        <w:t xml:space="preserve">maximum </w:t>
      </w:r>
      <w:r w:rsidRPr="00B916EC">
        <w:t xml:space="preserve">number of </w:t>
      </w:r>
      <w:r>
        <w:t xml:space="preserve">PDCCH </w:t>
      </w:r>
      <w:r w:rsidRPr="00B916EC">
        <w:t xml:space="preserve">candidates per CCE aggregation level for </w:t>
      </w:r>
      <w:r>
        <w:t>CSS</w:t>
      </w:r>
      <w:r w:rsidRPr="00B31155">
        <w:t xml:space="preserve"> </w:t>
      </w:r>
      <w:r>
        <w:t xml:space="preserve">sets </w:t>
      </w:r>
      <w:r w:rsidRPr="00371C83">
        <w:rPr>
          <w:rFonts w:eastAsia="Yu Mincho"/>
        </w:rPr>
        <w:t xml:space="preserve">configured by </w:t>
      </w:r>
      <w:r w:rsidRPr="007B5F66">
        <w:rPr>
          <w:i/>
          <w:iCs/>
          <w:lang w:val="en-US"/>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8A2C71" w:rsidRPr="00B916EC" w14:paraId="5F8DC83B" w14:textId="77777777" w:rsidTr="00AC1B06">
        <w:trPr>
          <w:cantSplit/>
          <w:jc w:val="center"/>
        </w:trPr>
        <w:tc>
          <w:tcPr>
            <w:tcW w:w="2995" w:type="dxa"/>
            <w:shd w:val="clear" w:color="auto" w:fill="E0E0E0"/>
            <w:vAlign w:val="center"/>
          </w:tcPr>
          <w:p w14:paraId="530B1290" w14:textId="77777777" w:rsidR="008A2C71" w:rsidRPr="00B916EC" w:rsidRDefault="008A2C71" w:rsidP="00AC1B06">
            <w:pPr>
              <w:pStyle w:val="TAH"/>
              <w:rPr>
                <w:rFonts w:ascii="Times New Roman" w:hAnsi="Times New Roman"/>
                <w:sz w:val="20"/>
              </w:rPr>
            </w:pPr>
            <w:r w:rsidRPr="00B916EC">
              <w:t>CCE Aggregation Level</w:t>
            </w:r>
          </w:p>
        </w:tc>
        <w:tc>
          <w:tcPr>
            <w:tcW w:w="3096" w:type="dxa"/>
            <w:shd w:val="clear" w:color="auto" w:fill="E0E0E0"/>
            <w:vAlign w:val="center"/>
          </w:tcPr>
          <w:p w14:paraId="6AD3EF3C" w14:textId="77777777" w:rsidR="008A2C71" w:rsidRPr="00B916EC" w:rsidRDefault="008A2C71" w:rsidP="00AC1B06">
            <w:pPr>
              <w:pStyle w:val="TAH"/>
              <w:rPr>
                <w:rFonts w:ascii="Times New Roman" w:hAnsi="Times New Roman"/>
                <w:sz w:val="20"/>
              </w:rPr>
            </w:pPr>
            <w:r w:rsidRPr="00B916EC">
              <w:t>Number of Candidates</w:t>
            </w:r>
          </w:p>
        </w:tc>
      </w:tr>
      <w:tr w:rsidR="008A2C71" w:rsidRPr="00B916EC" w14:paraId="1CE67CA9" w14:textId="77777777" w:rsidTr="00AC1B06">
        <w:trPr>
          <w:cantSplit/>
          <w:jc w:val="center"/>
        </w:trPr>
        <w:tc>
          <w:tcPr>
            <w:tcW w:w="2995" w:type="dxa"/>
            <w:vAlign w:val="center"/>
          </w:tcPr>
          <w:p w14:paraId="5D476DF4" w14:textId="77777777" w:rsidR="008A2C71" w:rsidRPr="00B916EC" w:rsidRDefault="008A2C71" w:rsidP="00AC1B06">
            <w:pPr>
              <w:pStyle w:val="TAC"/>
            </w:pPr>
            <w:r w:rsidRPr="00B916EC">
              <w:t>4</w:t>
            </w:r>
          </w:p>
        </w:tc>
        <w:tc>
          <w:tcPr>
            <w:tcW w:w="3096" w:type="dxa"/>
            <w:vAlign w:val="center"/>
          </w:tcPr>
          <w:p w14:paraId="18520069" w14:textId="77777777" w:rsidR="008A2C71" w:rsidRPr="00B916EC" w:rsidRDefault="008A2C71" w:rsidP="00AC1B06">
            <w:pPr>
              <w:pStyle w:val="TAC"/>
            </w:pPr>
            <w:r w:rsidRPr="00B916EC">
              <w:t>4</w:t>
            </w:r>
          </w:p>
        </w:tc>
      </w:tr>
      <w:tr w:rsidR="008A2C71" w:rsidRPr="00B916EC" w14:paraId="1FCD24FD" w14:textId="77777777" w:rsidTr="00AC1B06">
        <w:trPr>
          <w:cantSplit/>
          <w:jc w:val="center"/>
        </w:trPr>
        <w:tc>
          <w:tcPr>
            <w:tcW w:w="2995" w:type="dxa"/>
            <w:vAlign w:val="center"/>
          </w:tcPr>
          <w:p w14:paraId="514921EE" w14:textId="77777777" w:rsidR="008A2C71" w:rsidRPr="00B916EC" w:rsidRDefault="008A2C71" w:rsidP="00AC1B06">
            <w:pPr>
              <w:pStyle w:val="TAC"/>
            </w:pPr>
            <w:r w:rsidRPr="00B916EC">
              <w:t>8</w:t>
            </w:r>
          </w:p>
        </w:tc>
        <w:tc>
          <w:tcPr>
            <w:tcW w:w="3096" w:type="dxa"/>
            <w:vAlign w:val="center"/>
          </w:tcPr>
          <w:p w14:paraId="7DA78CB0" w14:textId="77777777" w:rsidR="008A2C71" w:rsidRPr="00B916EC" w:rsidRDefault="008A2C71" w:rsidP="00AC1B06">
            <w:pPr>
              <w:pStyle w:val="TAC"/>
            </w:pPr>
            <w:r w:rsidRPr="00B916EC">
              <w:t>2</w:t>
            </w:r>
          </w:p>
        </w:tc>
      </w:tr>
      <w:tr w:rsidR="008A2C71" w:rsidRPr="00B916EC" w14:paraId="6F478D6D" w14:textId="77777777" w:rsidTr="00AC1B06">
        <w:trPr>
          <w:cantSplit/>
          <w:jc w:val="center"/>
        </w:trPr>
        <w:tc>
          <w:tcPr>
            <w:tcW w:w="2995" w:type="dxa"/>
            <w:vAlign w:val="center"/>
          </w:tcPr>
          <w:p w14:paraId="1C10CADD" w14:textId="77777777" w:rsidR="008A2C71" w:rsidRPr="00B916EC" w:rsidRDefault="008A2C71" w:rsidP="00AC1B06">
            <w:pPr>
              <w:pStyle w:val="TAC"/>
            </w:pPr>
            <w:r w:rsidRPr="00B916EC">
              <w:t>16</w:t>
            </w:r>
          </w:p>
        </w:tc>
        <w:tc>
          <w:tcPr>
            <w:tcW w:w="3096" w:type="dxa"/>
            <w:vAlign w:val="center"/>
          </w:tcPr>
          <w:p w14:paraId="4B4348AA" w14:textId="77777777" w:rsidR="008A2C71" w:rsidRPr="00B916EC" w:rsidRDefault="008A2C71" w:rsidP="00AC1B06">
            <w:pPr>
              <w:pStyle w:val="TAC"/>
            </w:pPr>
            <w:r>
              <w:t>1</w:t>
            </w:r>
          </w:p>
        </w:tc>
      </w:tr>
    </w:tbl>
    <w:p w14:paraId="27098F7A" w14:textId="77777777" w:rsidR="008A2C71" w:rsidRDefault="008A2C71" w:rsidP="008A2C71">
      <w:pPr>
        <w:pStyle w:val="BodyText"/>
      </w:pPr>
    </w:p>
    <w:p w14:paraId="34D1FEFB" w14:textId="6C7227A3" w:rsidR="008A2C71" w:rsidDel="00031170" w:rsidRDefault="008A2C71" w:rsidP="008A2C71">
      <w:pPr>
        <w:pStyle w:val="BodyText"/>
      </w:pPr>
      <w:r>
        <w:t xml:space="preserve">In summary, the expected increases in processing latencies and decreases in processing capabilities associated with large SCS are important factors that should be an integral part of selecting the suitable SCS for NR operations in the 52.6 – 71 GHz frequency range. </w:t>
      </w:r>
      <w:r w:rsidR="000462A6">
        <w:t xml:space="preserve">Clearly, if large SCS is to be supported, there can be a large cost in terms of specification and implementation changes compared to Rel-15. This puts pressure on selecting the SCS for the 52.6 – 71 GHz to be as low as practically possible, preferably leveraging existing SCS in the current spec (&lt;= 480 kHz). </w:t>
      </w:r>
      <w:r>
        <w:t xml:space="preserve">The processing latency and capability issues raised in this section should be extensively discussed already during the SI phase and cannot </w:t>
      </w:r>
      <w:r w:rsidR="008046A9">
        <w:t xml:space="preserve">be </w:t>
      </w:r>
      <w:r>
        <w:t>deferred until the WI phase</w:t>
      </w:r>
      <w:r w:rsidR="000462A6">
        <w:t>:</w:t>
      </w:r>
    </w:p>
    <w:p w14:paraId="1BBADF18" w14:textId="0016E80C" w:rsidR="00624E03" w:rsidRPr="00624E03" w:rsidRDefault="00624E03" w:rsidP="004829CE">
      <w:pPr>
        <w:pStyle w:val="BodyText"/>
        <w:numPr>
          <w:ilvl w:val="0"/>
          <w:numId w:val="18"/>
        </w:numPr>
        <w:spacing w:after="0"/>
      </w:pPr>
      <w:r w:rsidRPr="00624E03">
        <w:t>PDSCH/PUSCH processing capability (i.e., N1 and N2)</w:t>
      </w:r>
      <w:r w:rsidR="00E270DE">
        <w:t xml:space="preserve">, including PUSCH scheduled by </w:t>
      </w:r>
      <w:r w:rsidR="009E0E0F">
        <w:t>RAR UL grant</w:t>
      </w:r>
    </w:p>
    <w:p w14:paraId="4CD57FF4" w14:textId="331DBD0F" w:rsidR="00F01410" w:rsidRPr="00624E03" w:rsidRDefault="00CB3005" w:rsidP="004829CE">
      <w:pPr>
        <w:pStyle w:val="BodyText"/>
        <w:numPr>
          <w:ilvl w:val="0"/>
          <w:numId w:val="18"/>
        </w:numPr>
        <w:spacing w:after="0"/>
      </w:pPr>
      <w:r>
        <w:t xml:space="preserve">HARQ ACK multiplexing timeline, N3 </w:t>
      </w:r>
    </w:p>
    <w:p w14:paraId="6B0D6F30" w14:textId="77777777" w:rsidR="00624E03" w:rsidRPr="00624E03" w:rsidRDefault="00624E03" w:rsidP="004829CE">
      <w:pPr>
        <w:pStyle w:val="BodyText"/>
        <w:numPr>
          <w:ilvl w:val="0"/>
          <w:numId w:val="18"/>
        </w:numPr>
        <w:spacing w:after="0"/>
      </w:pPr>
      <w:r w:rsidRPr="00624E03">
        <w:t>Minimum scheduling offsets (e.g., K0min/K2min) and aperiodic CSI-RS/SRS triggering offsets</w:t>
      </w:r>
    </w:p>
    <w:p w14:paraId="7D6F6B9C" w14:textId="77777777" w:rsidR="00624E03" w:rsidRPr="00624E03" w:rsidRDefault="00624E03" w:rsidP="004829CE">
      <w:pPr>
        <w:pStyle w:val="BodyText"/>
        <w:numPr>
          <w:ilvl w:val="0"/>
          <w:numId w:val="18"/>
        </w:numPr>
        <w:spacing w:after="0"/>
      </w:pPr>
      <w:r w:rsidRPr="00624E03">
        <w:t>Maximum number of HARQ processes</w:t>
      </w:r>
    </w:p>
    <w:p w14:paraId="36804485" w14:textId="77777777" w:rsidR="00624E03" w:rsidRPr="00624E03" w:rsidRDefault="00624E03" w:rsidP="004829CE">
      <w:pPr>
        <w:pStyle w:val="BodyText"/>
        <w:numPr>
          <w:ilvl w:val="0"/>
          <w:numId w:val="18"/>
        </w:numPr>
        <w:spacing w:after="0"/>
      </w:pPr>
      <w:r w:rsidRPr="00624E03">
        <w:t>Dynamic SFI and SPS/CG cancellation timing</w:t>
      </w:r>
    </w:p>
    <w:p w14:paraId="71D17E1A" w14:textId="77777777" w:rsidR="00624E03" w:rsidRPr="00624E03" w:rsidRDefault="00624E03" w:rsidP="004829CE">
      <w:pPr>
        <w:pStyle w:val="BodyText"/>
        <w:numPr>
          <w:ilvl w:val="0"/>
          <w:numId w:val="18"/>
        </w:numPr>
        <w:spacing w:after="0"/>
      </w:pPr>
      <w:r w:rsidRPr="00624E03">
        <w:t xml:space="preserve">Minimum time gap for wake-up and </w:t>
      </w:r>
      <w:proofErr w:type="spellStart"/>
      <w:r w:rsidRPr="00624E03">
        <w:t>SCell</w:t>
      </w:r>
      <w:proofErr w:type="spellEnd"/>
      <w:r w:rsidRPr="00624E03">
        <w:t xml:space="preserve"> dormancy indication (DCI format 2_6)</w:t>
      </w:r>
    </w:p>
    <w:p w14:paraId="0CDF98D8" w14:textId="77777777" w:rsidR="00624E03" w:rsidRPr="00624E03" w:rsidRDefault="00624E03" w:rsidP="004829CE">
      <w:pPr>
        <w:pStyle w:val="BodyText"/>
        <w:numPr>
          <w:ilvl w:val="0"/>
          <w:numId w:val="18"/>
        </w:numPr>
        <w:spacing w:after="0"/>
      </w:pPr>
      <w:r w:rsidRPr="00624E03">
        <w:t>BWP switch delay</w:t>
      </w:r>
    </w:p>
    <w:p w14:paraId="78F7516F" w14:textId="77777777" w:rsidR="00624E03" w:rsidRPr="00624E03" w:rsidRDefault="00624E03" w:rsidP="004829CE">
      <w:pPr>
        <w:pStyle w:val="BodyText"/>
        <w:numPr>
          <w:ilvl w:val="0"/>
          <w:numId w:val="18"/>
        </w:numPr>
        <w:spacing w:after="0"/>
      </w:pPr>
      <w:r w:rsidRPr="00624E03">
        <w:t>Multi-beam operation timing (</w:t>
      </w:r>
      <w:proofErr w:type="spellStart"/>
      <w:r w:rsidRPr="00624E03">
        <w:t>timeDurationForQCL</w:t>
      </w:r>
      <w:proofErr w:type="spellEnd"/>
      <w:r w:rsidRPr="00624E03">
        <w:t xml:space="preserve">, </w:t>
      </w:r>
      <w:proofErr w:type="spellStart"/>
      <w:r w:rsidRPr="00624E03">
        <w:t>beamSwitchTiming</w:t>
      </w:r>
      <w:proofErr w:type="spellEnd"/>
      <w:r w:rsidRPr="00624E03">
        <w:t>, beam switch gap, etc.)</w:t>
      </w:r>
    </w:p>
    <w:p w14:paraId="5D52F019" w14:textId="32F6DCFE" w:rsidR="00031170" w:rsidRDefault="00624E03" w:rsidP="004829CE">
      <w:pPr>
        <w:pStyle w:val="BodyText"/>
        <w:numPr>
          <w:ilvl w:val="0"/>
          <w:numId w:val="18"/>
        </w:numPr>
      </w:pPr>
      <w:r w:rsidRPr="00624E03">
        <w:t>Aperiodic CSI computation delay (i.e., Z and Z’)</w:t>
      </w:r>
    </w:p>
    <w:p w14:paraId="79212B60" w14:textId="77777777" w:rsidR="00031170" w:rsidRDefault="00031170" w:rsidP="008A2C71">
      <w:pPr>
        <w:pStyle w:val="BodyText"/>
      </w:pPr>
    </w:p>
    <w:p w14:paraId="532095B6" w14:textId="5CFE68F9" w:rsidR="00637A8D" w:rsidRDefault="005A56E6" w:rsidP="00637A8D">
      <w:pPr>
        <w:pStyle w:val="Proposal"/>
      </w:pPr>
      <w:bookmarkStart w:id="178" w:name="_Toc53776202"/>
      <w:r w:rsidRPr="005A56E6">
        <w:t>Capture the following observation in TR 38.808:</w:t>
      </w:r>
      <w:r>
        <w:t xml:space="preserve"> </w:t>
      </w:r>
      <w:r w:rsidR="00285EA6" w:rsidRPr="00285EA6">
        <w:t>For selection of suitable SCS for the 52.6 – 71 GHz frequency range,</w:t>
      </w:r>
      <w:r w:rsidR="00285EA6">
        <w:t xml:space="preserve"> </w:t>
      </w:r>
      <w:r w:rsidR="0077544C">
        <w:t>the</w:t>
      </w:r>
      <w:r w:rsidR="006026CE">
        <w:t xml:space="preserve"> expected increases in processing latencies and decreases in processing capabilities associated with large SCS are important factors.</w:t>
      </w:r>
      <w:r w:rsidR="000462A6">
        <w:t xml:space="preserve"> </w:t>
      </w:r>
      <w:r w:rsidR="00B915F8">
        <w:t>To enable high performance NR operation in 52.6 to 71 GHz</w:t>
      </w:r>
      <w:r w:rsidR="00CA020C">
        <w:t xml:space="preserve">, </w:t>
      </w:r>
      <w:r w:rsidR="00CA020C" w:rsidRPr="00726932">
        <w:t>UE processing timeline</w:t>
      </w:r>
      <w:r w:rsidR="00CA020C">
        <w:t>s</w:t>
      </w:r>
      <w:r w:rsidR="00404A3E">
        <w:t xml:space="preserve"> and capabilities </w:t>
      </w:r>
      <w:r w:rsidR="00CA020C">
        <w:t>for SCS &gt; 120 kHz need to be further tightened</w:t>
      </w:r>
      <w:r w:rsidR="00C66213">
        <w:t xml:space="preserve">. </w:t>
      </w:r>
      <w:r w:rsidR="00174585">
        <w:t>S</w:t>
      </w:r>
      <w:r w:rsidR="000462A6">
        <w:t xml:space="preserve">uch issues put pressure to define SCS(s) as low as possible preferably leveraging existing SCS(s) in the current spec, i.e., </w:t>
      </w:r>
      <w:r w:rsidR="0030277A">
        <w:rPr>
          <w:rFonts w:ascii="Cambria Math" w:hAnsi="Cambria Math"/>
        </w:rPr>
        <w:t>≤</w:t>
      </w:r>
      <w:r w:rsidR="000462A6">
        <w:t>480 kHz.</w:t>
      </w:r>
      <w:bookmarkEnd w:id="178"/>
    </w:p>
    <w:p w14:paraId="7A26CA51" w14:textId="196CE716" w:rsidR="00BC0BCC" w:rsidRPr="00EB5F4F" w:rsidRDefault="00AE3D9F" w:rsidP="00637A8D">
      <w:pPr>
        <w:pStyle w:val="Proposal"/>
      </w:pPr>
      <w:r>
        <w:t xml:space="preserve"> </w:t>
      </w:r>
      <w:bookmarkStart w:id="179" w:name="_Toc53776203"/>
      <w:r>
        <w:t xml:space="preserve">Add the </w:t>
      </w:r>
      <w:r w:rsidRPr="00FC1E85">
        <w:rPr>
          <w:rFonts w:eastAsia="Batang"/>
          <w:color w:val="181818"/>
          <w:spacing w:val="-6"/>
          <w:kern w:val="20"/>
          <w:lang w:eastAsia="en-US"/>
        </w:rPr>
        <w:t xml:space="preserve">following aspects </w:t>
      </w:r>
      <w:r>
        <w:rPr>
          <w:rFonts w:eastAsia="Batang"/>
          <w:color w:val="181818"/>
          <w:spacing w:val="-6"/>
          <w:kern w:val="20"/>
          <w:lang w:eastAsia="en-US"/>
        </w:rPr>
        <w:t xml:space="preserve">to the list of </w:t>
      </w:r>
      <w:r w:rsidRPr="00FC1E85">
        <w:rPr>
          <w:rFonts w:eastAsia="Batang"/>
          <w:color w:val="181818"/>
          <w:spacing w:val="-6"/>
          <w:kern w:val="20"/>
          <w:lang w:eastAsia="en-US"/>
        </w:rPr>
        <w:t>processing timelines for new SCS (if agreed) that are not currently supported,</w:t>
      </w:r>
      <w:bookmarkEnd w:id="179"/>
    </w:p>
    <w:p w14:paraId="517BE88E" w14:textId="129280B5" w:rsidR="00C47EE6" w:rsidRDefault="00C47EE6" w:rsidP="00EB5F4F">
      <w:pPr>
        <w:pStyle w:val="Proposal"/>
        <w:numPr>
          <w:ilvl w:val="1"/>
          <w:numId w:val="76"/>
        </w:numPr>
        <w:spacing w:after="0"/>
      </w:pPr>
      <w:bookmarkStart w:id="180" w:name="_Toc53776204"/>
      <w:r>
        <w:t xml:space="preserve">Processing capability </w:t>
      </w:r>
      <w:r w:rsidR="00B03B65">
        <w:t>for PUSCH scheduled by RAR UL grant</w:t>
      </w:r>
      <w:bookmarkEnd w:id="180"/>
      <w:r w:rsidR="00B03B65">
        <w:t xml:space="preserve"> </w:t>
      </w:r>
    </w:p>
    <w:p w14:paraId="20D20EC9" w14:textId="77777777" w:rsidR="00B03B65" w:rsidRDefault="00B03B65" w:rsidP="00EB5F4F">
      <w:pPr>
        <w:pStyle w:val="Proposal"/>
        <w:numPr>
          <w:ilvl w:val="1"/>
          <w:numId w:val="76"/>
        </w:numPr>
        <w:spacing w:after="0"/>
      </w:pPr>
      <w:bookmarkStart w:id="181" w:name="_Toc53776205"/>
      <w:r w:rsidRPr="00624E03">
        <w:t>Dynamic SFI and SPS/CG cancellation timing</w:t>
      </w:r>
      <w:bookmarkEnd w:id="181"/>
    </w:p>
    <w:p w14:paraId="2E6027D8" w14:textId="7F2407E5" w:rsidR="00472283" w:rsidRDefault="00472283" w:rsidP="00EB5F4F">
      <w:pPr>
        <w:pStyle w:val="Proposal"/>
        <w:numPr>
          <w:ilvl w:val="1"/>
          <w:numId w:val="76"/>
        </w:numPr>
        <w:spacing w:after="0"/>
      </w:pPr>
      <w:bookmarkStart w:id="182" w:name="_Toc53776206"/>
      <w:r>
        <w:rPr>
          <w:rFonts w:eastAsia="DengXian"/>
        </w:rPr>
        <w:lastRenderedPageBreak/>
        <w:t>Timeline for HARQ-ACK information in response to a SPS PDSCH release/</w:t>
      </w:r>
      <w:r w:rsidR="00993714" w:rsidRPr="00993714">
        <w:t xml:space="preserve"> </w:t>
      </w:r>
      <w:r w:rsidR="00993714" w:rsidRPr="00624E03">
        <w:t>dormancy</w:t>
      </w:r>
      <w:r>
        <w:t>.</w:t>
      </w:r>
      <w:bookmarkEnd w:id="182"/>
    </w:p>
    <w:p w14:paraId="358DF65C" w14:textId="769ADEBE" w:rsidR="00B03B65" w:rsidRPr="00624E03" w:rsidRDefault="00B03B65" w:rsidP="00EB5F4F">
      <w:pPr>
        <w:pStyle w:val="Proposal"/>
        <w:numPr>
          <w:ilvl w:val="1"/>
          <w:numId w:val="76"/>
        </w:numPr>
        <w:spacing w:after="0"/>
      </w:pPr>
      <w:bookmarkStart w:id="183" w:name="_Toc53776207"/>
      <w:r w:rsidRPr="00624E03">
        <w:t xml:space="preserve">Minimum time gap for wake-up and </w:t>
      </w:r>
      <w:proofErr w:type="spellStart"/>
      <w:r w:rsidRPr="00624E03">
        <w:t>SCell</w:t>
      </w:r>
      <w:proofErr w:type="spellEnd"/>
      <w:r w:rsidRPr="00624E03">
        <w:t xml:space="preserve"> dormancy indication (DCI format 2_6)</w:t>
      </w:r>
      <w:bookmarkEnd w:id="183"/>
    </w:p>
    <w:p w14:paraId="2230E9E3" w14:textId="77777777" w:rsidR="00B03B65" w:rsidRPr="00624E03" w:rsidRDefault="00B03B65" w:rsidP="00EB5F4F">
      <w:pPr>
        <w:pStyle w:val="Proposal"/>
        <w:numPr>
          <w:ilvl w:val="1"/>
          <w:numId w:val="76"/>
        </w:numPr>
        <w:spacing w:after="0"/>
      </w:pPr>
      <w:bookmarkStart w:id="184" w:name="_Toc53776208"/>
      <w:r w:rsidRPr="00624E03">
        <w:t>BWP switch delay</w:t>
      </w:r>
      <w:bookmarkEnd w:id="184"/>
    </w:p>
    <w:p w14:paraId="4989615C" w14:textId="77777777" w:rsidR="00B03B65" w:rsidRDefault="00B03B65" w:rsidP="00EB5F4F">
      <w:pPr>
        <w:pStyle w:val="Proposal"/>
        <w:numPr>
          <w:ilvl w:val="1"/>
          <w:numId w:val="76"/>
        </w:numPr>
        <w:spacing w:after="0"/>
      </w:pPr>
      <w:bookmarkStart w:id="185" w:name="_Toc53776209"/>
      <w:r w:rsidRPr="00624E03">
        <w:t>Multi-beam operation timing (</w:t>
      </w:r>
      <w:proofErr w:type="spellStart"/>
      <w:r w:rsidRPr="00624E03">
        <w:t>timeDurationForQCL</w:t>
      </w:r>
      <w:proofErr w:type="spellEnd"/>
      <w:r w:rsidRPr="00624E03">
        <w:t xml:space="preserve">, </w:t>
      </w:r>
      <w:proofErr w:type="spellStart"/>
      <w:r w:rsidRPr="00624E03">
        <w:t>beamSwitchTiming</w:t>
      </w:r>
      <w:proofErr w:type="spellEnd"/>
      <w:r w:rsidRPr="00624E03">
        <w:t>, beam switch gap, etc.)</w:t>
      </w:r>
      <w:bookmarkEnd w:id="185"/>
    </w:p>
    <w:p w14:paraId="422F1E2F" w14:textId="66BB4100" w:rsidR="00440274" w:rsidRPr="00624E03" w:rsidRDefault="00440274" w:rsidP="00EB5F4F">
      <w:pPr>
        <w:pStyle w:val="Proposal"/>
        <w:numPr>
          <w:ilvl w:val="1"/>
          <w:numId w:val="76"/>
        </w:numPr>
        <w:spacing w:after="0"/>
      </w:pPr>
      <w:bookmarkStart w:id="186" w:name="_Toc53776210"/>
      <w:r>
        <w:t>Timeline for multiplexing multiple UCI types</w:t>
      </w:r>
      <w:bookmarkEnd w:id="186"/>
      <w:r>
        <w:t xml:space="preserve"> </w:t>
      </w:r>
    </w:p>
    <w:p w14:paraId="66C8E497" w14:textId="77777777" w:rsidR="00B60C96" w:rsidRDefault="00B60C96" w:rsidP="008A2C71">
      <w:pPr>
        <w:pStyle w:val="BodyText"/>
      </w:pPr>
    </w:p>
    <w:p w14:paraId="72467DDE" w14:textId="32B95E8A" w:rsidR="009B39C2" w:rsidRDefault="007C3789" w:rsidP="009B39C2">
      <w:pPr>
        <w:pStyle w:val="Heading1"/>
      </w:pPr>
      <w:bookmarkStart w:id="187" w:name="_Toc46307401"/>
      <w:bookmarkStart w:id="188" w:name="_Toc47530179"/>
      <w:bookmarkStart w:id="189" w:name="_Toc53775901"/>
      <w:r>
        <w:t>4</w:t>
      </w:r>
      <w:r w:rsidR="009B39C2">
        <w:tab/>
      </w:r>
      <w:r w:rsidR="006872BE">
        <w:t xml:space="preserve">Potential </w:t>
      </w:r>
      <w:r w:rsidR="009B39C2">
        <w:t>changes</w:t>
      </w:r>
      <w:r w:rsidR="00E27FD7">
        <w:t xml:space="preserve"> for NR operations in 52.6 to 71 GHz</w:t>
      </w:r>
      <w:bookmarkEnd w:id="187"/>
      <w:bookmarkEnd w:id="188"/>
      <w:bookmarkEnd w:id="189"/>
    </w:p>
    <w:p w14:paraId="55C2FD56" w14:textId="2F37DA43" w:rsidR="00680E5B" w:rsidRDefault="00C81EDA" w:rsidP="00680E5B">
      <w:pPr>
        <w:pStyle w:val="Heading2"/>
      </w:pPr>
      <w:bookmarkStart w:id="190" w:name="_Toc53775902"/>
      <w:r>
        <w:t>4.1</w:t>
      </w:r>
      <w:r>
        <w:tab/>
      </w:r>
      <w:bookmarkStart w:id="191" w:name="_Toc46307402"/>
      <w:bookmarkStart w:id="192" w:name="_Toc47530180"/>
      <w:bookmarkStart w:id="193" w:name="_Hlk47424515"/>
      <w:bookmarkStart w:id="194" w:name="_Hlk46398776"/>
      <w:r w:rsidR="00680E5B">
        <w:t xml:space="preserve">Initial </w:t>
      </w:r>
      <w:r w:rsidR="008C3AD3">
        <w:t>a</w:t>
      </w:r>
      <w:r w:rsidR="00680E5B">
        <w:t xml:space="preserve">ccess </w:t>
      </w:r>
      <w:r w:rsidR="008C3AD3">
        <w:t>s</w:t>
      </w:r>
      <w:r w:rsidR="00680E5B">
        <w:t>ignals</w:t>
      </w:r>
      <w:bookmarkEnd w:id="191"/>
      <w:bookmarkEnd w:id="192"/>
      <w:r w:rsidR="00E0459B">
        <w:t xml:space="preserve"> and channels</w:t>
      </w:r>
      <w:bookmarkEnd w:id="190"/>
    </w:p>
    <w:p w14:paraId="3E9EABCE" w14:textId="764B6B60" w:rsidR="00E0459B" w:rsidRDefault="00E0459B" w:rsidP="00E0459B">
      <w:pPr>
        <w:pStyle w:val="Heading3"/>
      </w:pPr>
      <w:bookmarkStart w:id="195" w:name="_Toc53775903"/>
      <w:r>
        <w:t>4.</w:t>
      </w:r>
      <w:r w:rsidR="00A7546B">
        <w:t>1</w:t>
      </w:r>
      <w:r>
        <w:t>.1</w:t>
      </w:r>
      <w:r>
        <w:tab/>
        <w:t>SS/PBCH Block Related</w:t>
      </w:r>
      <w:bookmarkEnd w:id="195"/>
    </w:p>
    <w:p w14:paraId="4568DB7A" w14:textId="6B18DDB6" w:rsidR="00B555B5" w:rsidRDefault="00637B31" w:rsidP="00B555B5">
      <w:pPr>
        <w:rPr>
          <w:lang w:val="en-GB"/>
        </w:rPr>
      </w:pPr>
      <w:r w:rsidRPr="00B555B5">
        <w:rPr>
          <w:noProof/>
        </w:rPr>
        <mc:AlternateContent>
          <mc:Choice Requires="wps">
            <w:drawing>
              <wp:inline distT="0" distB="0" distL="0" distR="0" wp14:anchorId="67FDA65B" wp14:editId="08E3E3A1">
                <wp:extent cx="6096000" cy="798830"/>
                <wp:effectExtent l="0" t="0" r="19050" b="15240"/>
                <wp:docPr id="12393409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798830"/>
                        </a:xfrm>
                        <a:prstGeom prst="rect">
                          <a:avLst/>
                        </a:prstGeom>
                        <a:solidFill>
                          <a:srgbClr val="FFFFFF"/>
                        </a:solidFill>
                        <a:ln w="9525">
                          <a:solidFill>
                            <a:srgbClr val="000000"/>
                          </a:solidFill>
                          <a:miter lim="800000"/>
                          <a:headEnd/>
                          <a:tailEnd/>
                        </a:ln>
                      </wps:spPr>
                      <wps:txbx>
                        <w:txbxContent>
                          <w:p w14:paraId="3E81621A" w14:textId="43F6F46D" w:rsidR="00BE31F7" w:rsidRPr="00B555B5" w:rsidRDefault="00BE31F7" w:rsidP="00637B31">
                            <w:pPr>
                              <w:spacing w:after="0"/>
                              <w:rPr>
                                <w:lang w:eastAsia="en-US"/>
                              </w:rPr>
                            </w:pPr>
                            <w:r w:rsidRPr="00B555B5">
                              <w:rPr>
                                <w:rFonts w:ascii="Times" w:eastAsia="Batang" w:hAnsi="Times"/>
                                <w:color w:val="181818"/>
                                <w:spacing w:val="-6"/>
                                <w:kern w:val="20"/>
                                <w:highlight w:val="green"/>
                                <w:lang w:eastAsia="en-US"/>
                              </w:rPr>
                              <w:t>Agreement</w:t>
                            </w:r>
                            <w:r w:rsidRPr="00B555B5">
                              <w:rPr>
                                <w:rFonts w:ascii="Times" w:eastAsia="Batang" w:hAnsi="Times"/>
                                <w:color w:val="181818"/>
                                <w:spacing w:val="-6"/>
                                <w:kern w:val="20"/>
                                <w:lang w:eastAsia="en-US"/>
                              </w:rPr>
                              <w:t>:</w:t>
                            </w:r>
                          </w:p>
                          <w:p w14:paraId="049D504C" w14:textId="77777777" w:rsidR="00BE31F7" w:rsidRPr="00B555B5" w:rsidRDefault="00BE31F7" w:rsidP="00637B31">
                            <w:pPr>
                              <w:numPr>
                                <w:ilvl w:val="0"/>
                                <w:numId w:val="41"/>
                              </w:numPr>
                              <w:overflowPunct/>
                              <w:autoSpaceDE/>
                              <w:autoSpaceDN/>
                              <w:adjustRightInd/>
                              <w:spacing w:after="0" w:line="259" w:lineRule="auto"/>
                              <w:ind w:left="1267"/>
                              <w:contextualSpacing/>
                              <w:textAlignment w:val="auto"/>
                              <w:rPr>
                                <w:color w:val="181818"/>
                                <w:lang w:eastAsia="en-US"/>
                              </w:rPr>
                            </w:pPr>
                            <w:r w:rsidRPr="00B555B5">
                              <w:rPr>
                                <w:rFonts w:eastAsia="Batang"/>
                                <w:color w:val="181818"/>
                                <w:spacing w:val="-6"/>
                                <w:kern w:val="20"/>
                                <w:lang w:eastAsia="en-US"/>
                              </w:rPr>
                              <w:t xml:space="preserve">Study </w:t>
                            </w:r>
                            <w:proofErr w:type="gramStart"/>
                            <w:r w:rsidRPr="00B555B5">
                              <w:rPr>
                                <w:rFonts w:eastAsia="Batang"/>
                                <w:color w:val="181818"/>
                                <w:spacing w:val="-6"/>
                                <w:kern w:val="20"/>
                                <w:lang w:eastAsia="en-US"/>
                              </w:rPr>
                              <w:t>whether or not</w:t>
                            </w:r>
                            <w:proofErr w:type="gramEnd"/>
                            <w:r w:rsidRPr="00B555B5">
                              <w:rPr>
                                <w:rFonts w:eastAsia="Batang"/>
                                <w:color w:val="181818"/>
                                <w:spacing w:val="-6"/>
                                <w:kern w:val="20"/>
                                <w:lang w:eastAsia="en-US"/>
                              </w:rPr>
                              <w:t xml:space="preserve"> different </w:t>
                            </w:r>
                            <w:r w:rsidRPr="00B555B5">
                              <w:rPr>
                                <w:rFonts w:eastAsia="Batang"/>
                                <w:color w:val="181818"/>
                                <w:spacing w:val="-6"/>
                                <w:kern w:val="20"/>
                                <w:highlight w:val="yellow"/>
                                <w:lang w:eastAsia="en-US"/>
                              </w:rPr>
                              <w:t xml:space="preserve">SSB patterns </w:t>
                            </w:r>
                            <w:r w:rsidRPr="00B555B5">
                              <w:rPr>
                                <w:rFonts w:eastAsia="Batang"/>
                                <w:color w:val="181818"/>
                                <w:spacing w:val="-6"/>
                                <w:kern w:val="20"/>
                                <w:lang w:eastAsia="en-US"/>
                              </w:rPr>
                              <w:t>should be supported for licensed and unlicensed bands.</w:t>
                            </w:r>
                          </w:p>
                          <w:p w14:paraId="221E322D" w14:textId="77777777" w:rsidR="00BE31F7" w:rsidRPr="00B555B5" w:rsidRDefault="00BE31F7" w:rsidP="00637B31">
                            <w:pPr>
                              <w:numPr>
                                <w:ilvl w:val="0"/>
                                <w:numId w:val="41"/>
                              </w:numPr>
                              <w:overflowPunct/>
                              <w:autoSpaceDE/>
                              <w:autoSpaceDN/>
                              <w:adjustRightInd/>
                              <w:spacing w:after="0" w:line="259" w:lineRule="auto"/>
                              <w:ind w:left="1267"/>
                              <w:contextualSpacing/>
                              <w:textAlignment w:val="auto"/>
                              <w:rPr>
                                <w:color w:val="181818"/>
                                <w:lang w:eastAsia="en-US"/>
                              </w:rPr>
                            </w:pPr>
                            <w:r w:rsidRPr="00B555B5">
                              <w:rPr>
                                <w:rFonts w:eastAsia="Batang"/>
                                <w:color w:val="181818"/>
                                <w:spacing w:val="-6"/>
                                <w:kern w:val="20"/>
                                <w:lang w:eastAsia="en-US"/>
                              </w:rPr>
                              <w:t>For each licensed and unlicensed band, if issues are identified for reuse of existing SSB, consider at least the following aspects for SSB</w:t>
                            </w:r>
                          </w:p>
                          <w:p w14:paraId="7B77B585" w14:textId="77777777" w:rsidR="00BE31F7" w:rsidRPr="00B555B5" w:rsidRDefault="00BE31F7" w:rsidP="00637B31">
                            <w:pPr>
                              <w:numPr>
                                <w:ilvl w:val="1"/>
                                <w:numId w:val="41"/>
                              </w:numPr>
                              <w:overflowPunct/>
                              <w:autoSpaceDE/>
                              <w:autoSpaceDN/>
                              <w:adjustRightInd/>
                              <w:spacing w:after="0" w:line="259" w:lineRule="auto"/>
                              <w:ind w:left="2606"/>
                              <w:contextualSpacing/>
                              <w:textAlignment w:val="auto"/>
                              <w:rPr>
                                <w:color w:val="181818"/>
                                <w:lang w:eastAsia="en-US"/>
                              </w:rPr>
                            </w:pPr>
                            <w:r w:rsidRPr="00B555B5">
                              <w:rPr>
                                <w:rFonts w:eastAsia="Batang"/>
                                <w:color w:val="181818"/>
                                <w:spacing w:val="-6"/>
                                <w:kern w:val="20"/>
                                <w:lang w:eastAsia="en-US"/>
                              </w:rPr>
                              <w:t>Beam switching gap between SSB(s) and between SSB and other signal(s)/channel(s)</w:t>
                            </w:r>
                          </w:p>
                          <w:p w14:paraId="3A7BB2F7" w14:textId="77777777" w:rsidR="00BE31F7" w:rsidRPr="00B555B5" w:rsidRDefault="00BE31F7" w:rsidP="00637B31">
                            <w:pPr>
                              <w:numPr>
                                <w:ilvl w:val="1"/>
                                <w:numId w:val="41"/>
                              </w:numPr>
                              <w:overflowPunct/>
                              <w:autoSpaceDE/>
                              <w:autoSpaceDN/>
                              <w:adjustRightInd/>
                              <w:spacing w:after="0" w:line="259" w:lineRule="auto"/>
                              <w:ind w:left="2606"/>
                              <w:contextualSpacing/>
                              <w:textAlignment w:val="auto"/>
                              <w:rPr>
                                <w:color w:val="181818"/>
                                <w:lang w:eastAsia="en-US"/>
                              </w:rPr>
                            </w:pPr>
                            <w:r w:rsidRPr="00B555B5">
                              <w:rPr>
                                <w:rFonts w:eastAsia="Batang"/>
                                <w:color w:val="181818"/>
                                <w:spacing w:val="-6"/>
                                <w:kern w:val="20"/>
                                <w:lang w:eastAsia="en-US"/>
                              </w:rPr>
                              <w:t>SSB pattern in time domain</w:t>
                            </w:r>
                          </w:p>
                          <w:p w14:paraId="368D8D1D" w14:textId="77777777" w:rsidR="00BE31F7" w:rsidRPr="00B555B5" w:rsidRDefault="00BE31F7" w:rsidP="00637B31">
                            <w:pPr>
                              <w:numPr>
                                <w:ilvl w:val="1"/>
                                <w:numId w:val="41"/>
                              </w:numPr>
                              <w:overflowPunct/>
                              <w:autoSpaceDE/>
                              <w:autoSpaceDN/>
                              <w:adjustRightInd/>
                              <w:spacing w:after="0" w:line="259" w:lineRule="auto"/>
                              <w:ind w:left="2606"/>
                              <w:contextualSpacing/>
                              <w:textAlignment w:val="auto"/>
                              <w:rPr>
                                <w:color w:val="181818"/>
                                <w:lang w:eastAsia="en-US"/>
                              </w:rPr>
                            </w:pPr>
                            <w:r w:rsidRPr="00B555B5">
                              <w:rPr>
                                <w:rFonts w:eastAsia="Batang"/>
                                <w:color w:val="181818"/>
                                <w:spacing w:val="-6"/>
                                <w:kern w:val="20"/>
                                <w:lang w:eastAsia="en-US"/>
                              </w:rPr>
                              <w:t>Whether or not it is needed to define a transmission window (such as DRS window), and if needed, number of SSB transmission opportunities within a transmission window</w:t>
                            </w:r>
                          </w:p>
                          <w:p w14:paraId="6F6B7423" w14:textId="77777777" w:rsidR="00BE31F7" w:rsidRPr="00B555B5" w:rsidRDefault="00BE31F7" w:rsidP="00637B31">
                            <w:pPr>
                              <w:numPr>
                                <w:ilvl w:val="0"/>
                                <w:numId w:val="41"/>
                              </w:numPr>
                              <w:overflowPunct/>
                              <w:autoSpaceDE/>
                              <w:autoSpaceDN/>
                              <w:adjustRightInd/>
                              <w:spacing w:after="0" w:line="259" w:lineRule="auto"/>
                              <w:ind w:left="1267"/>
                              <w:contextualSpacing/>
                              <w:textAlignment w:val="auto"/>
                              <w:rPr>
                                <w:color w:val="181818"/>
                                <w:lang w:eastAsia="en-US"/>
                              </w:rPr>
                            </w:pPr>
                            <w:r w:rsidRPr="00B555B5">
                              <w:rPr>
                                <w:rFonts w:eastAsia="Batang"/>
                                <w:color w:val="181818"/>
                                <w:spacing w:val="-6"/>
                                <w:kern w:val="20"/>
                                <w:lang w:eastAsia="en-US"/>
                              </w:rPr>
                              <w:t xml:space="preserve">For each licensed and unlicensed band, if issues are identified for reuse of all or some of the existing </w:t>
                            </w:r>
                            <w:r w:rsidRPr="00B555B5">
                              <w:rPr>
                                <w:rFonts w:eastAsia="Batang"/>
                                <w:color w:val="181818"/>
                                <w:spacing w:val="-6"/>
                                <w:kern w:val="20"/>
                                <w:highlight w:val="yellow"/>
                                <w:lang w:eastAsia="en-US"/>
                              </w:rPr>
                              <w:t>SSB and CORESET#0 multiplexing pattern</w:t>
                            </w:r>
                            <w:r w:rsidRPr="00B555B5">
                              <w:rPr>
                                <w:rFonts w:eastAsia="Batang"/>
                                <w:color w:val="181818"/>
                                <w:spacing w:val="-6"/>
                                <w:kern w:val="20"/>
                                <w:lang w:eastAsia="en-US"/>
                              </w:rPr>
                              <w:t>, consider at least the following aspects for SSB, CORESET#0, and other signal/channel design</w:t>
                            </w:r>
                          </w:p>
                          <w:p w14:paraId="0853646B" w14:textId="77777777" w:rsidR="00BE31F7" w:rsidRPr="00B555B5" w:rsidRDefault="00BE31F7" w:rsidP="00637B31">
                            <w:pPr>
                              <w:numPr>
                                <w:ilvl w:val="1"/>
                                <w:numId w:val="41"/>
                              </w:numPr>
                              <w:overflowPunct/>
                              <w:autoSpaceDE/>
                              <w:autoSpaceDN/>
                              <w:adjustRightInd/>
                              <w:spacing w:after="0" w:line="259" w:lineRule="auto"/>
                              <w:ind w:left="2606"/>
                              <w:contextualSpacing/>
                              <w:textAlignment w:val="auto"/>
                              <w:rPr>
                                <w:color w:val="181818"/>
                                <w:lang w:eastAsia="en-US"/>
                              </w:rPr>
                            </w:pPr>
                            <w:r w:rsidRPr="00B555B5">
                              <w:rPr>
                                <w:rFonts w:eastAsia="Batang"/>
                                <w:color w:val="181818"/>
                                <w:spacing w:val="-6"/>
                                <w:kern w:val="20"/>
                                <w:lang w:eastAsia="en-US"/>
                              </w:rPr>
                              <w:t>Supported multiplexing pattern type(s) (Pattern 1, 2, and/or 3) for SSB and CORESET#0 multiplexing.</w:t>
                            </w:r>
                          </w:p>
                          <w:p w14:paraId="02402089" w14:textId="77777777" w:rsidR="00BE31F7" w:rsidRPr="00B555B5" w:rsidRDefault="00BE31F7" w:rsidP="00637B31">
                            <w:pPr>
                              <w:numPr>
                                <w:ilvl w:val="1"/>
                                <w:numId w:val="41"/>
                              </w:numPr>
                              <w:overflowPunct/>
                              <w:autoSpaceDE/>
                              <w:autoSpaceDN/>
                              <w:adjustRightInd/>
                              <w:spacing w:after="0" w:line="259" w:lineRule="auto"/>
                              <w:ind w:left="2606"/>
                              <w:contextualSpacing/>
                              <w:textAlignment w:val="auto"/>
                              <w:rPr>
                                <w:color w:val="181818"/>
                                <w:lang w:eastAsia="en-US"/>
                              </w:rPr>
                            </w:pPr>
                            <w:r w:rsidRPr="00B555B5">
                              <w:rPr>
                                <w:rFonts w:eastAsia="Batang"/>
                                <w:color w:val="181818"/>
                                <w:spacing w:val="-6"/>
                                <w:kern w:val="20"/>
                                <w:lang w:eastAsia="en-US"/>
                              </w:rPr>
                              <w:t>Multiplexing of other signal/channels (e.g. RMSI, paging, CSI-RS) with SSB</w:t>
                            </w:r>
                          </w:p>
                          <w:p w14:paraId="712CDC11" w14:textId="77777777" w:rsidR="00BE31F7" w:rsidRPr="00B555B5" w:rsidRDefault="00BE31F7" w:rsidP="00637B31">
                            <w:pPr>
                              <w:numPr>
                                <w:ilvl w:val="1"/>
                                <w:numId w:val="41"/>
                              </w:numPr>
                              <w:overflowPunct/>
                              <w:autoSpaceDE/>
                              <w:autoSpaceDN/>
                              <w:adjustRightInd/>
                              <w:spacing w:after="0" w:line="259" w:lineRule="auto"/>
                              <w:ind w:left="2606"/>
                              <w:contextualSpacing/>
                              <w:textAlignment w:val="auto"/>
                              <w:rPr>
                                <w:color w:val="181818"/>
                                <w:lang w:eastAsia="en-US"/>
                              </w:rPr>
                            </w:pPr>
                            <w:r w:rsidRPr="00B555B5">
                              <w:rPr>
                                <w:rFonts w:eastAsia="Batang"/>
                                <w:color w:val="181818"/>
                                <w:spacing w:val="-6"/>
                                <w:kern w:val="20"/>
                                <w:lang w:eastAsia="en-US"/>
                              </w:rPr>
                              <w:t xml:space="preserve">Configuration of Type0-PDCCH search space set </w:t>
                            </w:r>
                          </w:p>
                        </w:txbxContent>
                      </wps:txbx>
                      <wps:bodyPr rot="0" vert="horz" wrap="square" lIns="91440" tIns="45720" rIns="91440" bIns="45720" anchor="t" anchorCtr="0">
                        <a:spAutoFit/>
                      </wps:bodyPr>
                    </wps:wsp>
                  </a:graphicData>
                </a:graphic>
              </wp:inline>
            </w:drawing>
          </mc:Choice>
          <mc:Fallback>
            <w:pict>
              <v:shape w14:anchorId="67FDA65B" id="_x0000_s1030" type="#_x0000_t202" style="width:480pt;height:6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">
                <v:textbox style="mso-fit-shape-to-text:t">
                  <w:txbxContent>
                    <w:p w14:paraId="3E81621A" w14:textId="43F6F46D" w:rsidR="00BE31F7" w:rsidRPr="00B555B5" w:rsidRDefault="00BE31F7" w:rsidP="00637B31">
                      <w:pPr>
                        <w:spacing w:after="0"/>
                        <w:rPr>
                          <w:lang w:eastAsia="en-US"/>
                        </w:rPr>
                      </w:pPr>
                      <w:r w:rsidRPr="00B555B5">
                        <w:rPr>
                          <w:rFonts w:ascii="Times" w:eastAsia="Batang" w:hAnsi="Times"/>
                          <w:color w:val="181818"/>
                          <w:spacing w:val="-6"/>
                          <w:kern w:val="20"/>
                          <w:highlight w:val="green"/>
                          <w:lang w:eastAsia="en-US"/>
                        </w:rPr>
                        <w:t>Agreement</w:t>
                      </w:r>
                      <w:r w:rsidRPr="00B555B5">
                        <w:rPr>
                          <w:rFonts w:ascii="Times" w:eastAsia="Batang" w:hAnsi="Times"/>
                          <w:color w:val="181818"/>
                          <w:spacing w:val="-6"/>
                          <w:kern w:val="20"/>
                          <w:lang w:eastAsia="en-US"/>
                        </w:rPr>
                        <w:t>:</w:t>
                      </w:r>
                    </w:p>
                    <w:p w14:paraId="049D504C" w14:textId="77777777" w:rsidR="00BE31F7" w:rsidRPr="00B555B5" w:rsidRDefault="00BE31F7" w:rsidP="00637B31">
                      <w:pPr>
                        <w:numPr>
                          <w:ilvl w:val="0"/>
                          <w:numId w:val="41"/>
                        </w:numPr>
                        <w:overflowPunct/>
                        <w:autoSpaceDE/>
                        <w:autoSpaceDN/>
                        <w:adjustRightInd/>
                        <w:spacing w:after="0" w:line="259" w:lineRule="auto"/>
                        <w:ind w:left="1267"/>
                        <w:contextualSpacing/>
                        <w:textAlignment w:val="auto"/>
                        <w:rPr>
                          <w:color w:val="181818"/>
                          <w:lang w:eastAsia="en-US"/>
                        </w:rPr>
                      </w:pPr>
                      <w:r w:rsidRPr="00B555B5">
                        <w:rPr>
                          <w:rFonts w:eastAsia="Batang"/>
                          <w:color w:val="181818"/>
                          <w:spacing w:val="-6"/>
                          <w:kern w:val="20"/>
                          <w:lang w:eastAsia="en-US"/>
                        </w:rPr>
                        <w:t xml:space="preserve">Study </w:t>
                      </w:r>
                      <w:proofErr w:type="gramStart"/>
                      <w:r w:rsidRPr="00B555B5">
                        <w:rPr>
                          <w:rFonts w:eastAsia="Batang"/>
                          <w:color w:val="181818"/>
                          <w:spacing w:val="-6"/>
                          <w:kern w:val="20"/>
                          <w:lang w:eastAsia="en-US"/>
                        </w:rPr>
                        <w:t>whether or not</w:t>
                      </w:r>
                      <w:proofErr w:type="gramEnd"/>
                      <w:r w:rsidRPr="00B555B5">
                        <w:rPr>
                          <w:rFonts w:eastAsia="Batang"/>
                          <w:color w:val="181818"/>
                          <w:spacing w:val="-6"/>
                          <w:kern w:val="20"/>
                          <w:lang w:eastAsia="en-US"/>
                        </w:rPr>
                        <w:t xml:space="preserve"> different </w:t>
                      </w:r>
                      <w:r w:rsidRPr="00B555B5">
                        <w:rPr>
                          <w:rFonts w:eastAsia="Batang"/>
                          <w:color w:val="181818"/>
                          <w:spacing w:val="-6"/>
                          <w:kern w:val="20"/>
                          <w:highlight w:val="yellow"/>
                          <w:lang w:eastAsia="en-US"/>
                        </w:rPr>
                        <w:t xml:space="preserve">SSB patterns </w:t>
                      </w:r>
                      <w:r w:rsidRPr="00B555B5">
                        <w:rPr>
                          <w:rFonts w:eastAsia="Batang"/>
                          <w:color w:val="181818"/>
                          <w:spacing w:val="-6"/>
                          <w:kern w:val="20"/>
                          <w:lang w:eastAsia="en-US"/>
                        </w:rPr>
                        <w:t>should be supported for licensed and unlicensed bands.</w:t>
                      </w:r>
                    </w:p>
                    <w:p w14:paraId="221E322D" w14:textId="77777777" w:rsidR="00BE31F7" w:rsidRPr="00B555B5" w:rsidRDefault="00BE31F7" w:rsidP="00637B31">
                      <w:pPr>
                        <w:numPr>
                          <w:ilvl w:val="0"/>
                          <w:numId w:val="41"/>
                        </w:numPr>
                        <w:overflowPunct/>
                        <w:autoSpaceDE/>
                        <w:autoSpaceDN/>
                        <w:adjustRightInd/>
                        <w:spacing w:after="0" w:line="259" w:lineRule="auto"/>
                        <w:ind w:left="1267"/>
                        <w:contextualSpacing/>
                        <w:textAlignment w:val="auto"/>
                        <w:rPr>
                          <w:color w:val="181818"/>
                          <w:lang w:eastAsia="en-US"/>
                        </w:rPr>
                      </w:pPr>
                      <w:r w:rsidRPr="00B555B5">
                        <w:rPr>
                          <w:rFonts w:eastAsia="Batang"/>
                          <w:color w:val="181818"/>
                          <w:spacing w:val="-6"/>
                          <w:kern w:val="20"/>
                          <w:lang w:eastAsia="en-US"/>
                        </w:rPr>
                        <w:t>For each licensed and unlicensed band, if issues are identified for reuse of existing SSB, consider at least the following aspects for SSB</w:t>
                      </w:r>
                    </w:p>
                    <w:p w14:paraId="7B77B585" w14:textId="77777777" w:rsidR="00BE31F7" w:rsidRPr="00B555B5" w:rsidRDefault="00BE31F7" w:rsidP="00637B31">
                      <w:pPr>
                        <w:numPr>
                          <w:ilvl w:val="1"/>
                          <w:numId w:val="41"/>
                        </w:numPr>
                        <w:overflowPunct/>
                        <w:autoSpaceDE/>
                        <w:autoSpaceDN/>
                        <w:adjustRightInd/>
                        <w:spacing w:after="0" w:line="259" w:lineRule="auto"/>
                        <w:ind w:left="2606"/>
                        <w:contextualSpacing/>
                        <w:textAlignment w:val="auto"/>
                        <w:rPr>
                          <w:color w:val="181818"/>
                          <w:lang w:eastAsia="en-US"/>
                        </w:rPr>
                      </w:pPr>
                      <w:r w:rsidRPr="00B555B5">
                        <w:rPr>
                          <w:rFonts w:eastAsia="Batang"/>
                          <w:color w:val="181818"/>
                          <w:spacing w:val="-6"/>
                          <w:kern w:val="20"/>
                          <w:lang w:eastAsia="en-US"/>
                        </w:rPr>
                        <w:t>Beam switching gap between SSB(s) and between SSB and other signal(s)/channel(s)</w:t>
                      </w:r>
                    </w:p>
                    <w:p w14:paraId="3A7BB2F7" w14:textId="77777777" w:rsidR="00BE31F7" w:rsidRPr="00B555B5" w:rsidRDefault="00BE31F7" w:rsidP="00637B31">
                      <w:pPr>
                        <w:numPr>
                          <w:ilvl w:val="1"/>
                          <w:numId w:val="41"/>
                        </w:numPr>
                        <w:overflowPunct/>
                        <w:autoSpaceDE/>
                        <w:autoSpaceDN/>
                        <w:adjustRightInd/>
                        <w:spacing w:after="0" w:line="259" w:lineRule="auto"/>
                        <w:ind w:left="2606"/>
                        <w:contextualSpacing/>
                        <w:textAlignment w:val="auto"/>
                        <w:rPr>
                          <w:color w:val="181818"/>
                          <w:lang w:eastAsia="en-US"/>
                        </w:rPr>
                      </w:pPr>
                      <w:r w:rsidRPr="00B555B5">
                        <w:rPr>
                          <w:rFonts w:eastAsia="Batang"/>
                          <w:color w:val="181818"/>
                          <w:spacing w:val="-6"/>
                          <w:kern w:val="20"/>
                          <w:lang w:eastAsia="en-US"/>
                        </w:rPr>
                        <w:t>SSB pattern in time domain</w:t>
                      </w:r>
                    </w:p>
                    <w:p w14:paraId="368D8D1D" w14:textId="77777777" w:rsidR="00BE31F7" w:rsidRPr="00B555B5" w:rsidRDefault="00BE31F7" w:rsidP="00637B31">
                      <w:pPr>
                        <w:numPr>
                          <w:ilvl w:val="1"/>
                          <w:numId w:val="41"/>
                        </w:numPr>
                        <w:overflowPunct/>
                        <w:autoSpaceDE/>
                        <w:autoSpaceDN/>
                        <w:adjustRightInd/>
                        <w:spacing w:after="0" w:line="259" w:lineRule="auto"/>
                        <w:ind w:left="2606"/>
                        <w:contextualSpacing/>
                        <w:textAlignment w:val="auto"/>
                        <w:rPr>
                          <w:color w:val="181818"/>
                          <w:lang w:eastAsia="en-US"/>
                        </w:rPr>
                      </w:pPr>
                      <w:r w:rsidRPr="00B555B5">
                        <w:rPr>
                          <w:rFonts w:eastAsia="Batang"/>
                          <w:color w:val="181818"/>
                          <w:spacing w:val="-6"/>
                          <w:kern w:val="20"/>
                          <w:lang w:eastAsia="en-US"/>
                        </w:rPr>
                        <w:t>Whether or not it is needed to define a transmission window (such as DRS window), and if needed, number of SSB transmission opportunities within a transmission window</w:t>
                      </w:r>
                    </w:p>
                    <w:p w14:paraId="6F6B7423" w14:textId="77777777" w:rsidR="00BE31F7" w:rsidRPr="00B555B5" w:rsidRDefault="00BE31F7" w:rsidP="00637B31">
                      <w:pPr>
                        <w:numPr>
                          <w:ilvl w:val="0"/>
                          <w:numId w:val="41"/>
                        </w:numPr>
                        <w:overflowPunct/>
                        <w:autoSpaceDE/>
                        <w:autoSpaceDN/>
                        <w:adjustRightInd/>
                        <w:spacing w:after="0" w:line="259" w:lineRule="auto"/>
                        <w:ind w:left="1267"/>
                        <w:contextualSpacing/>
                        <w:textAlignment w:val="auto"/>
                        <w:rPr>
                          <w:color w:val="181818"/>
                          <w:lang w:eastAsia="en-US"/>
                        </w:rPr>
                      </w:pPr>
                      <w:r w:rsidRPr="00B555B5">
                        <w:rPr>
                          <w:rFonts w:eastAsia="Batang"/>
                          <w:color w:val="181818"/>
                          <w:spacing w:val="-6"/>
                          <w:kern w:val="20"/>
                          <w:lang w:eastAsia="en-US"/>
                        </w:rPr>
                        <w:t xml:space="preserve">For each licensed and unlicensed band, if issues are identified for reuse of all or some of the existing </w:t>
                      </w:r>
                      <w:r w:rsidRPr="00B555B5">
                        <w:rPr>
                          <w:rFonts w:eastAsia="Batang"/>
                          <w:color w:val="181818"/>
                          <w:spacing w:val="-6"/>
                          <w:kern w:val="20"/>
                          <w:highlight w:val="yellow"/>
                          <w:lang w:eastAsia="en-US"/>
                        </w:rPr>
                        <w:t>SSB and CORESET#0 multiplexing pattern</w:t>
                      </w:r>
                      <w:r w:rsidRPr="00B555B5">
                        <w:rPr>
                          <w:rFonts w:eastAsia="Batang"/>
                          <w:color w:val="181818"/>
                          <w:spacing w:val="-6"/>
                          <w:kern w:val="20"/>
                          <w:lang w:eastAsia="en-US"/>
                        </w:rPr>
                        <w:t>, consider at least the following aspects for SSB, CORESET#0, and other signal/channel design</w:t>
                      </w:r>
                    </w:p>
                    <w:p w14:paraId="0853646B" w14:textId="77777777" w:rsidR="00BE31F7" w:rsidRPr="00B555B5" w:rsidRDefault="00BE31F7" w:rsidP="00637B31">
                      <w:pPr>
                        <w:numPr>
                          <w:ilvl w:val="1"/>
                          <w:numId w:val="41"/>
                        </w:numPr>
                        <w:overflowPunct/>
                        <w:autoSpaceDE/>
                        <w:autoSpaceDN/>
                        <w:adjustRightInd/>
                        <w:spacing w:after="0" w:line="259" w:lineRule="auto"/>
                        <w:ind w:left="2606"/>
                        <w:contextualSpacing/>
                        <w:textAlignment w:val="auto"/>
                        <w:rPr>
                          <w:color w:val="181818"/>
                          <w:lang w:eastAsia="en-US"/>
                        </w:rPr>
                      </w:pPr>
                      <w:r w:rsidRPr="00B555B5">
                        <w:rPr>
                          <w:rFonts w:eastAsia="Batang"/>
                          <w:color w:val="181818"/>
                          <w:spacing w:val="-6"/>
                          <w:kern w:val="20"/>
                          <w:lang w:eastAsia="en-US"/>
                        </w:rPr>
                        <w:t>Supported multiplexing pattern type(s) (Pattern 1, 2, and/or 3) for SSB and CORESET#0 multiplexing.</w:t>
                      </w:r>
                    </w:p>
                    <w:p w14:paraId="02402089" w14:textId="77777777" w:rsidR="00BE31F7" w:rsidRPr="00B555B5" w:rsidRDefault="00BE31F7" w:rsidP="00637B31">
                      <w:pPr>
                        <w:numPr>
                          <w:ilvl w:val="1"/>
                          <w:numId w:val="41"/>
                        </w:numPr>
                        <w:overflowPunct/>
                        <w:autoSpaceDE/>
                        <w:autoSpaceDN/>
                        <w:adjustRightInd/>
                        <w:spacing w:after="0" w:line="259" w:lineRule="auto"/>
                        <w:ind w:left="2606"/>
                        <w:contextualSpacing/>
                        <w:textAlignment w:val="auto"/>
                        <w:rPr>
                          <w:color w:val="181818"/>
                          <w:lang w:eastAsia="en-US"/>
                        </w:rPr>
                      </w:pPr>
                      <w:r w:rsidRPr="00B555B5">
                        <w:rPr>
                          <w:rFonts w:eastAsia="Batang"/>
                          <w:color w:val="181818"/>
                          <w:spacing w:val="-6"/>
                          <w:kern w:val="20"/>
                          <w:lang w:eastAsia="en-US"/>
                        </w:rPr>
                        <w:t>Multiplexing of other signal/channels (e.g. RMSI, paging, CSI-RS) with SSB</w:t>
                      </w:r>
                    </w:p>
                    <w:p w14:paraId="712CDC11" w14:textId="77777777" w:rsidR="00BE31F7" w:rsidRPr="00B555B5" w:rsidRDefault="00BE31F7" w:rsidP="00637B31">
                      <w:pPr>
                        <w:numPr>
                          <w:ilvl w:val="1"/>
                          <w:numId w:val="41"/>
                        </w:numPr>
                        <w:overflowPunct/>
                        <w:autoSpaceDE/>
                        <w:autoSpaceDN/>
                        <w:adjustRightInd/>
                        <w:spacing w:after="0" w:line="259" w:lineRule="auto"/>
                        <w:ind w:left="2606"/>
                        <w:contextualSpacing/>
                        <w:textAlignment w:val="auto"/>
                        <w:rPr>
                          <w:color w:val="181818"/>
                          <w:lang w:eastAsia="en-US"/>
                        </w:rPr>
                      </w:pPr>
                      <w:r w:rsidRPr="00B555B5">
                        <w:rPr>
                          <w:rFonts w:eastAsia="Batang"/>
                          <w:color w:val="181818"/>
                          <w:spacing w:val="-6"/>
                          <w:kern w:val="20"/>
                          <w:lang w:eastAsia="en-US"/>
                        </w:rPr>
                        <w:t xml:space="preserve">Configuration of Type0-PDCCH search space set </w:t>
                      </w:r>
                    </w:p>
                  </w:txbxContent>
                </v:textbox>
                <w10:anchorlock/>
              </v:shape>
            </w:pict>
          </mc:Fallback>
        </mc:AlternateContent>
      </w:r>
    </w:p>
    <w:p w14:paraId="3D472EC0" w14:textId="2F72B20F" w:rsidR="0032511F" w:rsidRPr="0032511F" w:rsidRDefault="005C6F7D" w:rsidP="004F69A1">
      <w:pPr>
        <w:rPr>
          <w:rFonts w:ascii="Arial" w:hAnsi="Arial" w:cs="Arial"/>
          <w:highlight w:val="yellow"/>
          <w:lang w:val="en-GB"/>
        </w:rPr>
      </w:pPr>
      <w:r w:rsidRPr="00B555B5">
        <w:rPr>
          <w:noProof/>
          <w:lang w:val="en-GB"/>
        </w:rPr>
        <mc:AlternateContent>
          <mc:Choice Requires="wps">
            <w:drawing>
              <wp:anchor distT="45720" distB="45720" distL="114300" distR="114300" simplePos="0" relativeHeight="251658240" behindDoc="0" locked="0" layoutInCell="1" allowOverlap="1" wp14:anchorId="4B84FD1E" wp14:editId="2D5A2C1A">
                <wp:simplePos x="0" y="0"/>
                <wp:positionH relativeFrom="margin">
                  <wp:posOffset>13335</wp:posOffset>
                </wp:positionH>
                <wp:positionV relativeFrom="paragraph">
                  <wp:posOffset>19050</wp:posOffset>
                </wp:positionV>
                <wp:extent cx="6096000" cy="1761490"/>
                <wp:effectExtent l="0" t="0" r="19050" b="10160"/>
                <wp:wrapTopAndBottom/>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761490"/>
                        </a:xfrm>
                        <a:prstGeom prst="rect">
                          <a:avLst/>
                        </a:prstGeom>
                        <a:solidFill>
                          <a:srgbClr val="FFFFFF"/>
                        </a:solidFill>
                        <a:ln w="9525">
                          <a:solidFill>
                            <a:srgbClr val="000000"/>
                          </a:solidFill>
                          <a:miter lim="800000"/>
                          <a:headEnd/>
                          <a:tailEnd/>
                        </a:ln>
                      </wps:spPr>
                      <wps:txbx>
                        <w:txbxContent>
                          <w:p w14:paraId="3379C6CA" w14:textId="77777777" w:rsidR="00BE31F7" w:rsidRPr="00B555B5" w:rsidRDefault="00BE31F7" w:rsidP="00B555B5">
                            <w:pPr>
                              <w:spacing w:after="0"/>
                              <w:rPr>
                                <w:sz w:val="24"/>
                                <w:szCs w:val="24"/>
                              </w:rPr>
                            </w:pPr>
                            <w:r w:rsidRPr="00B555B5">
                              <w:rPr>
                                <w:rFonts w:eastAsia="Batang"/>
                                <w:color w:val="181818"/>
                                <w:spacing w:val="-6"/>
                                <w:kern w:val="20"/>
                                <w:highlight w:val="green"/>
                              </w:rPr>
                              <w:t>Agreement</w:t>
                            </w:r>
                            <w:r w:rsidRPr="00B555B5">
                              <w:rPr>
                                <w:rFonts w:eastAsia="Batang"/>
                                <w:color w:val="181818"/>
                                <w:spacing w:val="-6"/>
                                <w:kern w:val="20"/>
                              </w:rPr>
                              <w:t>:</w:t>
                            </w:r>
                          </w:p>
                          <w:p w14:paraId="61CC086D" w14:textId="77777777" w:rsidR="00BE31F7" w:rsidRPr="00B555B5" w:rsidRDefault="00BE31F7" w:rsidP="00B555B5">
                            <w:pPr>
                              <w:spacing w:after="0"/>
                              <w:rPr>
                                <w:sz w:val="24"/>
                                <w:szCs w:val="24"/>
                              </w:rPr>
                            </w:pPr>
                            <w:r w:rsidRPr="00B555B5">
                              <w:rPr>
                                <w:rFonts w:eastAsia="Batang"/>
                                <w:color w:val="181818"/>
                                <w:spacing w:val="-6"/>
                                <w:kern w:val="20"/>
                              </w:rPr>
                              <w:t xml:space="preserve">RAN1 at least considers the following aspects for determination of supported </w:t>
                            </w:r>
                            <w:r w:rsidRPr="00B555B5">
                              <w:rPr>
                                <w:rFonts w:eastAsia="Batang"/>
                                <w:color w:val="181818"/>
                                <w:spacing w:val="-6"/>
                                <w:kern w:val="20"/>
                                <w:highlight w:val="yellow"/>
                              </w:rPr>
                              <w:t>SSB subcarrier spacing</w:t>
                            </w:r>
                          </w:p>
                          <w:p w14:paraId="6B6C1DA7" w14:textId="77777777" w:rsidR="00BE31F7" w:rsidRPr="00B555B5" w:rsidRDefault="00BE31F7" w:rsidP="00B15474">
                            <w:pPr>
                              <w:numPr>
                                <w:ilvl w:val="0"/>
                                <w:numId w:val="39"/>
                              </w:numPr>
                              <w:tabs>
                                <w:tab w:val="clear" w:pos="720"/>
                                <w:tab w:val="num" w:pos="360"/>
                              </w:tabs>
                              <w:overflowPunct/>
                              <w:autoSpaceDE/>
                              <w:autoSpaceDN/>
                              <w:adjustRightInd/>
                              <w:spacing w:after="0"/>
                              <w:ind w:left="1267"/>
                              <w:contextualSpacing/>
                              <w:rPr>
                                <w:color w:val="181818"/>
                                <w:szCs w:val="24"/>
                              </w:rPr>
                            </w:pPr>
                            <w:r w:rsidRPr="00B555B5">
                              <w:rPr>
                                <w:rFonts w:eastAsia="Batang"/>
                                <w:color w:val="181818"/>
                                <w:spacing w:val="-6"/>
                                <w:kern w:val="20"/>
                              </w:rPr>
                              <w:t>Detection performance of SSB (including PSS, SSS, PBCH DMRS, and PBCH) and SSB coverage requirement</w:t>
                            </w:r>
                          </w:p>
                          <w:p w14:paraId="2DBA8AA0" w14:textId="77777777" w:rsidR="00BE31F7" w:rsidRPr="00B555B5" w:rsidRDefault="00BE31F7" w:rsidP="00B15474">
                            <w:pPr>
                              <w:numPr>
                                <w:ilvl w:val="0"/>
                                <w:numId w:val="39"/>
                              </w:numPr>
                              <w:tabs>
                                <w:tab w:val="clear" w:pos="720"/>
                                <w:tab w:val="num" w:pos="360"/>
                              </w:tabs>
                              <w:overflowPunct/>
                              <w:autoSpaceDE/>
                              <w:autoSpaceDN/>
                              <w:adjustRightInd/>
                              <w:spacing w:after="0"/>
                              <w:ind w:left="1267"/>
                              <w:contextualSpacing/>
                              <w:rPr>
                                <w:color w:val="181818"/>
                                <w:szCs w:val="24"/>
                              </w:rPr>
                            </w:pPr>
                            <w:r w:rsidRPr="00B555B5">
                              <w:rPr>
                                <w:rFonts w:eastAsia="Batang"/>
                                <w:color w:val="181818"/>
                                <w:spacing w:val="-6"/>
                                <w:kern w:val="20"/>
                              </w:rPr>
                              <w:t xml:space="preserve">Impact on initial cell search complexity due to frequency errors (e.g. carrier frequency offset, Doppler shift, </w:t>
                            </w:r>
                            <w:proofErr w:type="spellStart"/>
                            <w:r w:rsidRPr="00B555B5">
                              <w:rPr>
                                <w:rFonts w:eastAsia="Batang"/>
                                <w:color w:val="181818"/>
                                <w:spacing w:val="-6"/>
                                <w:kern w:val="20"/>
                              </w:rPr>
                              <w:t>etc</w:t>
                            </w:r>
                            <w:proofErr w:type="spellEnd"/>
                            <w:r w:rsidRPr="00B555B5">
                              <w:rPr>
                                <w:rFonts w:eastAsia="Batang"/>
                                <w:color w:val="181818"/>
                                <w:spacing w:val="-6"/>
                                <w:kern w:val="20"/>
                              </w:rPr>
                              <w:t>)</w:t>
                            </w:r>
                          </w:p>
                          <w:p w14:paraId="6864F8CF" w14:textId="77777777" w:rsidR="00BE31F7" w:rsidRPr="00B555B5" w:rsidRDefault="00BE31F7" w:rsidP="00B15474">
                            <w:pPr>
                              <w:numPr>
                                <w:ilvl w:val="0"/>
                                <w:numId w:val="39"/>
                              </w:numPr>
                              <w:tabs>
                                <w:tab w:val="clear" w:pos="720"/>
                                <w:tab w:val="num" w:pos="360"/>
                              </w:tabs>
                              <w:overflowPunct/>
                              <w:autoSpaceDE/>
                              <w:autoSpaceDN/>
                              <w:adjustRightInd/>
                              <w:spacing w:after="0"/>
                              <w:ind w:left="1267"/>
                              <w:contextualSpacing/>
                              <w:rPr>
                                <w:color w:val="181818"/>
                                <w:szCs w:val="24"/>
                              </w:rPr>
                            </w:pPr>
                            <w:r w:rsidRPr="00B555B5">
                              <w:rPr>
                                <w:rFonts w:eastAsia="Batang"/>
                                <w:color w:val="181818"/>
                                <w:spacing w:val="-6"/>
                                <w:kern w:val="20"/>
                              </w:rPr>
                              <w:t>Timing detection accuracy and its relation to uplink transmission accuracy</w:t>
                            </w:r>
                          </w:p>
                          <w:p w14:paraId="04AA117E" w14:textId="77777777" w:rsidR="00BE31F7" w:rsidRPr="00B555B5" w:rsidRDefault="00BE31F7" w:rsidP="00B15474">
                            <w:pPr>
                              <w:numPr>
                                <w:ilvl w:val="0"/>
                                <w:numId w:val="39"/>
                              </w:numPr>
                              <w:tabs>
                                <w:tab w:val="clear" w:pos="720"/>
                                <w:tab w:val="num" w:pos="360"/>
                              </w:tabs>
                              <w:overflowPunct/>
                              <w:autoSpaceDE/>
                              <w:autoSpaceDN/>
                              <w:adjustRightInd/>
                              <w:spacing w:after="0"/>
                              <w:ind w:left="1267"/>
                              <w:contextualSpacing/>
                              <w:rPr>
                                <w:color w:val="181818"/>
                                <w:szCs w:val="24"/>
                              </w:rPr>
                            </w:pPr>
                            <w:r w:rsidRPr="00B555B5">
                              <w:rPr>
                                <w:rFonts w:eastAsia="Batang"/>
                                <w:color w:val="181818"/>
                                <w:spacing w:val="-6"/>
                                <w:kern w:val="20"/>
                              </w:rPr>
                              <w:t>Signaling design for supporting different subcarrier spacing for SSB and CORESET#0 (if supported)</w:t>
                            </w:r>
                          </w:p>
                          <w:p w14:paraId="261AA5D2" w14:textId="77777777" w:rsidR="00BE31F7" w:rsidRDefault="00BE31F7" w:rsidP="00B15474">
                            <w:pPr>
                              <w:numPr>
                                <w:ilvl w:val="0"/>
                                <w:numId w:val="39"/>
                              </w:numPr>
                              <w:tabs>
                                <w:tab w:val="clear" w:pos="720"/>
                                <w:tab w:val="num" w:pos="360"/>
                              </w:tabs>
                              <w:overflowPunct/>
                              <w:autoSpaceDE/>
                              <w:autoSpaceDN/>
                              <w:adjustRightInd/>
                              <w:spacing w:after="0"/>
                              <w:ind w:left="1267"/>
                              <w:contextualSpacing/>
                              <w:rPr>
                                <w:color w:val="181818"/>
                                <w:szCs w:val="24"/>
                              </w:rPr>
                            </w:pPr>
                            <w:r w:rsidRPr="00B555B5">
                              <w:rPr>
                                <w:rFonts w:eastAsia="Batang"/>
                                <w:color w:val="181818"/>
                                <w:spacing w:val="-6"/>
                                <w:kern w:val="20"/>
                              </w:rPr>
                              <w:t>Multi-TRP delay considerations</w:t>
                            </w:r>
                          </w:p>
                          <w:p w14:paraId="0C37E922" w14:textId="35E82686" w:rsidR="00BE31F7" w:rsidRPr="00B555B5" w:rsidRDefault="00BE31F7" w:rsidP="00B15474">
                            <w:pPr>
                              <w:numPr>
                                <w:ilvl w:val="0"/>
                                <w:numId w:val="39"/>
                              </w:numPr>
                              <w:tabs>
                                <w:tab w:val="clear" w:pos="720"/>
                                <w:tab w:val="num" w:pos="360"/>
                              </w:tabs>
                              <w:overflowPunct/>
                              <w:autoSpaceDE/>
                              <w:autoSpaceDN/>
                              <w:adjustRightInd/>
                              <w:spacing w:after="0"/>
                              <w:ind w:left="1267"/>
                              <w:contextualSpacing/>
                              <w:rPr>
                                <w:color w:val="181818"/>
                                <w:szCs w:val="24"/>
                              </w:rPr>
                            </w:pPr>
                            <w:r w:rsidRPr="00A16D15">
                              <w:rPr>
                                <w:rFonts w:eastAsia="Batang"/>
                                <w:color w:val="181818"/>
                                <w:spacing w:val="-6"/>
                                <w:kern w:val="20"/>
                              </w:rPr>
                              <w:t>Consideration of SSB-based RRM/RLM and beam management if the SSB SCS is significantly different from that of the active BWP (e.g., switching gap, scheduling constraint, etc.)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B84FD1E" id="_x0000_s1031" type="#_x0000_t202" style="position:absolute;margin-left:1.05pt;margin-top:1.5pt;width:480pt;height:138.7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">
                <v:textbox style="mso-fit-shape-to-text:t">
                  <w:txbxContent>
                    <w:p w14:paraId="3379C6CA" w14:textId="77777777" w:rsidR="00BE31F7" w:rsidRPr="00B555B5" w:rsidRDefault="00BE31F7" w:rsidP="00B555B5">
                      <w:pPr>
                        <w:spacing w:after="0"/>
                        <w:rPr>
                          <w:sz w:val="24"/>
                          <w:szCs w:val="24"/>
                        </w:rPr>
                      </w:pPr>
                      <w:r w:rsidRPr="00B555B5">
                        <w:rPr>
                          <w:rFonts w:eastAsia="Batang"/>
                          <w:color w:val="181818"/>
                          <w:spacing w:val="-6"/>
                          <w:kern w:val="20"/>
                          <w:highlight w:val="green"/>
                        </w:rPr>
                        <w:t>Agreement</w:t>
                      </w:r>
                      <w:r w:rsidRPr="00B555B5">
                        <w:rPr>
                          <w:rFonts w:eastAsia="Batang"/>
                          <w:color w:val="181818"/>
                          <w:spacing w:val="-6"/>
                          <w:kern w:val="20"/>
                        </w:rPr>
                        <w:t>:</w:t>
                      </w:r>
                    </w:p>
                    <w:p w14:paraId="61CC086D" w14:textId="77777777" w:rsidR="00BE31F7" w:rsidRPr="00B555B5" w:rsidRDefault="00BE31F7" w:rsidP="00B555B5">
                      <w:pPr>
                        <w:spacing w:after="0"/>
                        <w:rPr>
                          <w:sz w:val="24"/>
                          <w:szCs w:val="24"/>
                        </w:rPr>
                      </w:pPr>
                      <w:r w:rsidRPr="00B555B5">
                        <w:rPr>
                          <w:rFonts w:eastAsia="Batang"/>
                          <w:color w:val="181818"/>
                          <w:spacing w:val="-6"/>
                          <w:kern w:val="20"/>
                        </w:rPr>
                        <w:t xml:space="preserve">RAN1 at least considers the following aspects for determination of supported </w:t>
                      </w:r>
                      <w:r w:rsidRPr="00B555B5">
                        <w:rPr>
                          <w:rFonts w:eastAsia="Batang"/>
                          <w:color w:val="181818"/>
                          <w:spacing w:val="-6"/>
                          <w:kern w:val="20"/>
                          <w:highlight w:val="yellow"/>
                        </w:rPr>
                        <w:t>SSB subcarrier spacing</w:t>
                      </w:r>
                    </w:p>
                    <w:p w14:paraId="6B6C1DA7" w14:textId="77777777" w:rsidR="00BE31F7" w:rsidRPr="00B555B5" w:rsidRDefault="00BE31F7" w:rsidP="00B15474">
                      <w:pPr>
                        <w:numPr>
                          <w:ilvl w:val="0"/>
                          <w:numId w:val="39"/>
                        </w:numPr>
                        <w:tabs>
                          <w:tab w:val="clear" w:pos="720"/>
                          <w:tab w:val="num" w:pos="360"/>
                        </w:tabs>
                        <w:overflowPunct/>
                        <w:autoSpaceDE/>
                        <w:autoSpaceDN/>
                        <w:adjustRightInd/>
                        <w:spacing w:after="0"/>
                        <w:ind w:left="1267"/>
                        <w:contextualSpacing/>
                        <w:rPr>
                          <w:color w:val="181818"/>
                          <w:szCs w:val="24"/>
                        </w:rPr>
                      </w:pPr>
                      <w:r w:rsidRPr="00B555B5">
                        <w:rPr>
                          <w:rFonts w:eastAsia="Batang"/>
                          <w:color w:val="181818"/>
                          <w:spacing w:val="-6"/>
                          <w:kern w:val="20"/>
                        </w:rPr>
                        <w:t>Detection performance of SSB (including PSS, SSS, PBCH DMRS, and PBCH) and SSB coverage requirement</w:t>
                      </w:r>
                    </w:p>
                    <w:p w14:paraId="2DBA8AA0" w14:textId="77777777" w:rsidR="00BE31F7" w:rsidRPr="00B555B5" w:rsidRDefault="00BE31F7" w:rsidP="00B15474">
                      <w:pPr>
                        <w:numPr>
                          <w:ilvl w:val="0"/>
                          <w:numId w:val="39"/>
                        </w:numPr>
                        <w:tabs>
                          <w:tab w:val="clear" w:pos="720"/>
                          <w:tab w:val="num" w:pos="360"/>
                        </w:tabs>
                        <w:overflowPunct/>
                        <w:autoSpaceDE/>
                        <w:autoSpaceDN/>
                        <w:adjustRightInd/>
                        <w:spacing w:after="0"/>
                        <w:ind w:left="1267"/>
                        <w:contextualSpacing/>
                        <w:rPr>
                          <w:color w:val="181818"/>
                          <w:szCs w:val="24"/>
                        </w:rPr>
                      </w:pPr>
                      <w:r w:rsidRPr="00B555B5">
                        <w:rPr>
                          <w:rFonts w:eastAsia="Batang"/>
                          <w:color w:val="181818"/>
                          <w:spacing w:val="-6"/>
                          <w:kern w:val="20"/>
                        </w:rPr>
                        <w:t xml:space="preserve">Impact on initial cell search complexity due to frequency errors (e.g. carrier frequency offset, Doppler shift, </w:t>
                      </w:r>
                      <w:proofErr w:type="spellStart"/>
                      <w:r w:rsidRPr="00B555B5">
                        <w:rPr>
                          <w:rFonts w:eastAsia="Batang"/>
                          <w:color w:val="181818"/>
                          <w:spacing w:val="-6"/>
                          <w:kern w:val="20"/>
                        </w:rPr>
                        <w:t>etc</w:t>
                      </w:r>
                      <w:proofErr w:type="spellEnd"/>
                      <w:r w:rsidRPr="00B555B5">
                        <w:rPr>
                          <w:rFonts w:eastAsia="Batang"/>
                          <w:color w:val="181818"/>
                          <w:spacing w:val="-6"/>
                          <w:kern w:val="20"/>
                        </w:rPr>
                        <w:t>)</w:t>
                      </w:r>
                    </w:p>
                    <w:p w14:paraId="6864F8CF" w14:textId="77777777" w:rsidR="00BE31F7" w:rsidRPr="00B555B5" w:rsidRDefault="00BE31F7" w:rsidP="00B15474">
                      <w:pPr>
                        <w:numPr>
                          <w:ilvl w:val="0"/>
                          <w:numId w:val="39"/>
                        </w:numPr>
                        <w:tabs>
                          <w:tab w:val="clear" w:pos="720"/>
                          <w:tab w:val="num" w:pos="360"/>
                        </w:tabs>
                        <w:overflowPunct/>
                        <w:autoSpaceDE/>
                        <w:autoSpaceDN/>
                        <w:adjustRightInd/>
                        <w:spacing w:after="0"/>
                        <w:ind w:left="1267"/>
                        <w:contextualSpacing/>
                        <w:rPr>
                          <w:color w:val="181818"/>
                          <w:szCs w:val="24"/>
                        </w:rPr>
                      </w:pPr>
                      <w:r w:rsidRPr="00B555B5">
                        <w:rPr>
                          <w:rFonts w:eastAsia="Batang"/>
                          <w:color w:val="181818"/>
                          <w:spacing w:val="-6"/>
                          <w:kern w:val="20"/>
                        </w:rPr>
                        <w:t>Timing detection accuracy and its relation to uplink transmission accuracy</w:t>
                      </w:r>
                    </w:p>
                    <w:p w14:paraId="04AA117E" w14:textId="77777777" w:rsidR="00BE31F7" w:rsidRPr="00B555B5" w:rsidRDefault="00BE31F7" w:rsidP="00B15474">
                      <w:pPr>
                        <w:numPr>
                          <w:ilvl w:val="0"/>
                          <w:numId w:val="39"/>
                        </w:numPr>
                        <w:tabs>
                          <w:tab w:val="clear" w:pos="720"/>
                          <w:tab w:val="num" w:pos="360"/>
                        </w:tabs>
                        <w:overflowPunct/>
                        <w:autoSpaceDE/>
                        <w:autoSpaceDN/>
                        <w:adjustRightInd/>
                        <w:spacing w:after="0"/>
                        <w:ind w:left="1267"/>
                        <w:contextualSpacing/>
                        <w:rPr>
                          <w:color w:val="181818"/>
                          <w:szCs w:val="24"/>
                        </w:rPr>
                      </w:pPr>
                      <w:r w:rsidRPr="00B555B5">
                        <w:rPr>
                          <w:rFonts w:eastAsia="Batang"/>
                          <w:color w:val="181818"/>
                          <w:spacing w:val="-6"/>
                          <w:kern w:val="20"/>
                        </w:rPr>
                        <w:t>Signaling design for supporting different subcarrier spacing for SSB and CORESET#0 (if supported)</w:t>
                      </w:r>
                    </w:p>
                    <w:p w14:paraId="261AA5D2" w14:textId="77777777" w:rsidR="00BE31F7" w:rsidRDefault="00BE31F7" w:rsidP="00B15474">
                      <w:pPr>
                        <w:numPr>
                          <w:ilvl w:val="0"/>
                          <w:numId w:val="39"/>
                        </w:numPr>
                        <w:tabs>
                          <w:tab w:val="clear" w:pos="720"/>
                          <w:tab w:val="num" w:pos="360"/>
                        </w:tabs>
                        <w:overflowPunct/>
                        <w:autoSpaceDE/>
                        <w:autoSpaceDN/>
                        <w:adjustRightInd/>
                        <w:spacing w:after="0"/>
                        <w:ind w:left="1267"/>
                        <w:contextualSpacing/>
                        <w:rPr>
                          <w:color w:val="181818"/>
                          <w:szCs w:val="24"/>
                        </w:rPr>
                      </w:pPr>
                      <w:r w:rsidRPr="00B555B5">
                        <w:rPr>
                          <w:rFonts w:eastAsia="Batang"/>
                          <w:color w:val="181818"/>
                          <w:spacing w:val="-6"/>
                          <w:kern w:val="20"/>
                        </w:rPr>
                        <w:t>Multi-TRP delay considerations</w:t>
                      </w:r>
                    </w:p>
                    <w:p w14:paraId="0C37E922" w14:textId="35E82686" w:rsidR="00BE31F7" w:rsidRPr="00B555B5" w:rsidRDefault="00BE31F7" w:rsidP="00B15474">
                      <w:pPr>
                        <w:numPr>
                          <w:ilvl w:val="0"/>
                          <w:numId w:val="39"/>
                        </w:numPr>
                        <w:tabs>
                          <w:tab w:val="clear" w:pos="720"/>
                          <w:tab w:val="num" w:pos="360"/>
                        </w:tabs>
                        <w:overflowPunct/>
                        <w:autoSpaceDE/>
                        <w:autoSpaceDN/>
                        <w:adjustRightInd/>
                        <w:spacing w:after="0"/>
                        <w:ind w:left="1267"/>
                        <w:contextualSpacing/>
                        <w:rPr>
                          <w:color w:val="181818"/>
                          <w:szCs w:val="24"/>
                        </w:rPr>
                      </w:pPr>
                      <w:r w:rsidRPr="00A16D15">
                        <w:rPr>
                          <w:rFonts w:eastAsia="Batang"/>
                          <w:color w:val="181818"/>
                          <w:spacing w:val="-6"/>
                          <w:kern w:val="20"/>
                        </w:rPr>
                        <w:t>Consideration of SSB-based RRM/RLM and beam management if the SSB SCS is significantly different from that of the active BWP (e.g., switching gap, scheduling constraint, etc.)</w:t>
                      </w:r>
                    </w:p>
                  </w:txbxContent>
                </v:textbox>
                <w10:wrap type="topAndBottom" anchorx="margin"/>
              </v:shape>
            </w:pict>
          </mc:Fallback>
        </mc:AlternateContent>
      </w:r>
    </w:p>
    <w:p w14:paraId="08750D4F" w14:textId="6600F18B" w:rsidR="007B4ACE" w:rsidRPr="007B4ACE" w:rsidRDefault="00463D53" w:rsidP="00F94015">
      <w:pPr>
        <w:pStyle w:val="BodyText"/>
        <w:rPr>
          <w:bCs/>
        </w:rPr>
      </w:pPr>
      <w:bookmarkStart w:id="196" w:name="_Toc46307403"/>
      <w:bookmarkEnd w:id="193"/>
      <w:bookmarkEnd w:id="194"/>
      <w:r>
        <w:rPr>
          <w:bCs/>
        </w:rPr>
        <w:t xml:space="preserve">As discussed in connection to sub-carrier spacing selection in Section 3, we do not see any benefits of increasing SCS beyond 480 kHz for data and control channels. From a timing error perspective, </w:t>
      </w:r>
      <w:r>
        <w:t>240 kHz SCS</w:t>
      </w:r>
      <w:r w:rsidR="00A637BE">
        <w:t xml:space="preserve"> for</w:t>
      </w:r>
      <w:r>
        <w:t xml:space="preserve"> SS/PBCH </w:t>
      </w:r>
      <w:r w:rsidR="00A637BE">
        <w:t>can achieve sufficient timing estimation accuracy to support</w:t>
      </w:r>
      <w:r>
        <w:t xml:space="preserve"> 480 kHz SCS for data channels, since the UL SCS is not more than twice that of the SS/PBCH SCS</w:t>
      </w:r>
      <w:r w:rsidR="00A637BE">
        <w:t xml:space="preserve"> (</w:t>
      </w:r>
      <w:r>
        <w:t xml:space="preserve">see discussion on </w:t>
      </w:r>
      <w:r w:rsidR="0057390C">
        <w:t>frequency and</w:t>
      </w:r>
      <w:r>
        <w:t xml:space="preserve"> timing error estimation in Section 3.4</w:t>
      </w:r>
      <w:r w:rsidR="00A637BE">
        <w:t>)</w:t>
      </w:r>
      <w:r>
        <w:t>. As SS/PBCH block transmissions are defined for 240 kHz SCS for FR2 operation, our conclusion is that initial access procedures as defined in Rel-15/16 are suitable also for operation above 52.6 GHz.</w:t>
      </w:r>
      <w:r w:rsidR="00F2152E">
        <w:t xml:space="preserve"> In this subsection, we will elaborate on the various aspects related to initial access that were agreed to </w:t>
      </w:r>
      <w:r w:rsidR="00A637BE">
        <w:t xml:space="preserve">study </w:t>
      </w:r>
      <w:r w:rsidR="00F2152E">
        <w:t xml:space="preserve">in the </w:t>
      </w:r>
      <w:r w:rsidR="00F73584">
        <w:t>previous</w:t>
      </w:r>
      <w:r w:rsidR="00F2152E">
        <w:t xml:space="preserve"> meeting</w:t>
      </w:r>
      <w:r w:rsidR="00003821">
        <w:t xml:space="preserve"> (see first agreement above)</w:t>
      </w:r>
      <w:r w:rsidR="00F2152E">
        <w:t>.</w:t>
      </w:r>
    </w:p>
    <w:p w14:paraId="2579F246" w14:textId="13E6AF50" w:rsidR="009227DA" w:rsidRPr="00F94015" w:rsidRDefault="009227DA" w:rsidP="00F94015">
      <w:pPr>
        <w:pStyle w:val="BodyText"/>
        <w:rPr>
          <w:b/>
          <w:u w:val="single"/>
        </w:rPr>
      </w:pPr>
      <w:r w:rsidRPr="00F94015">
        <w:rPr>
          <w:b/>
          <w:u w:val="single"/>
        </w:rPr>
        <w:t>SS/PBCH + Type0-PDCCH Design</w:t>
      </w:r>
    </w:p>
    <w:p w14:paraId="0E8A04F7" w14:textId="4D3F4BF8" w:rsidR="009A39F5" w:rsidRDefault="00741B3C" w:rsidP="00026AFC">
      <w:pPr>
        <w:pStyle w:val="BodyText"/>
      </w:pPr>
      <w:r w:rsidRPr="002D276E">
        <w:t>NR Rel-15/16</w:t>
      </w:r>
      <w:r>
        <w:t xml:space="preserve"> supports time/frequency designs for </w:t>
      </w:r>
      <w:r w:rsidR="00A97A74">
        <w:t xml:space="preserve">120 and 240 kHz SS/PBCH blocks as well as the associated SS/PBCH / CORESET0 multiplexing patterns (Patterns 1, 2, and 3). Since the SS/PBCH is fundamental to </w:t>
      </w:r>
      <w:r w:rsidR="00A97A74">
        <w:lastRenderedPageBreak/>
        <w:t>system operation and plays a key part of determining cell coverage, it is preferable to reuse existing designs as much as possible, including the already defined subcarrier spacings. If larger SCSs are needed for other signals/channels that can be considered separately. Our preference is to avoid increasing the SCS of SS/PBCH block to maintain the coverage potential of the existing design</w:t>
      </w:r>
      <w:r w:rsidR="00A637BE">
        <w:t xml:space="preserve"> (see further discussion on coverage in Section 3.1)</w:t>
      </w:r>
      <w:r w:rsidR="00A97A74">
        <w:t>.</w:t>
      </w:r>
      <w:r w:rsidR="00B02E1E">
        <w:t xml:space="preserve"> </w:t>
      </w:r>
    </w:p>
    <w:p w14:paraId="2999AF2B" w14:textId="5676C1D8" w:rsidR="00F36059" w:rsidRDefault="00F36059" w:rsidP="00026AFC">
      <w:pPr>
        <w:pStyle w:val="BodyText"/>
      </w:pPr>
      <w:r>
        <w:t>Our preference is also to minimize divergence in specification between licensed and unlicensed operation.</w:t>
      </w:r>
      <w:r w:rsidR="009A39F5">
        <w:t xml:space="preserve"> Definition of different SS/PBCH patterns for licensed/unlicensed bands creates an unnecessary divergence in </w:t>
      </w:r>
      <w:proofErr w:type="gramStart"/>
      <w:r w:rsidR="009A39F5">
        <w:t>specifications, and</w:t>
      </w:r>
      <w:proofErr w:type="gramEnd"/>
      <w:r w:rsidR="009A39F5">
        <w:t xml:space="preserve"> can increase UE complexity for initial access given that the licensed/unlicensed bands are likely to overlap in frequency.</w:t>
      </w:r>
    </w:p>
    <w:p w14:paraId="0B5A5E3A" w14:textId="6632241D" w:rsidR="009A39F5" w:rsidRDefault="009A39F5" w:rsidP="003C2819">
      <w:pPr>
        <w:pStyle w:val="Proposal"/>
      </w:pPr>
      <w:bookmarkStart w:id="197" w:name="_Toc53776211"/>
      <w:r>
        <w:t xml:space="preserve">Capture the following observation in TR 38.808: It is observed that </w:t>
      </w:r>
      <w:r w:rsidR="00485453">
        <w:t xml:space="preserve">from a UE </w:t>
      </w:r>
      <w:r>
        <w:t xml:space="preserve">complexity </w:t>
      </w:r>
      <w:r w:rsidR="00485453">
        <w:t>point of view it is beneficial to define</w:t>
      </w:r>
      <w:r>
        <w:t xml:space="preserve"> the same SS/PBCH patterns for licensed and unlicensed operation.</w:t>
      </w:r>
      <w:bookmarkEnd w:id="197"/>
    </w:p>
    <w:p w14:paraId="6870258E" w14:textId="1F486F0C" w:rsidR="005E37DF" w:rsidRPr="002D276E" w:rsidRDefault="00F36059" w:rsidP="00F94015">
      <w:pPr>
        <w:pStyle w:val="BodyText"/>
      </w:pPr>
      <w:r>
        <w:t xml:space="preserve">Using 120 </w:t>
      </w:r>
      <w:r w:rsidR="00035B82">
        <w:t xml:space="preserve">or </w:t>
      </w:r>
      <w:r>
        <w:t>240 kHz SCS for SS/PBCH block transmissions, the cyclic prefix length is long enough for beam switching</w:t>
      </w:r>
      <w:r w:rsidR="00771468">
        <w:t xml:space="preserve">. According to 38.817 Sec 9.10.2, “The worst-case beam switching time is hence based on the analogue implementation and is estimated as &lt; 100ns.”. For 240 kHz SCS the CP length is 293 ns, which should provide </w:t>
      </w:r>
      <w:proofErr w:type="gramStart"/>
      <w:r w:rsidR="00771468">
        <w:t>sufficient</w:t>
      </w:r>
      <w:proofErr w:type="gramEnd"/>
      <w:r w:rsidR="00771468">
        <w:t xml:space="preserve"> margin for beam switching considering small cell size in this band.</w:t>
      </w:r>
      <w:r>
        <w:t xml:space="preserve"> </w:t>
      </w:r>
      <w:r w:rsidR="00771468">
        <w:t>Hence</w:t>
      </w:r>
      <w:r>
        <w:t xml:space="preserve">, </w:t>
      </w:r>
      <w:r w:rsidR="009539C4">
        <w:t xml:space="preserve">there is no need to introduce gaps between SS/PBCH </w:t>
      </w:r>
      <w:r w:rsidR="005C2833">
        <w:t xml:space="preserve">blocks </w:t>
      </w:r>
      <w:r w:rsidR="001C15AE">
        <w:t xml:space="preserve">for beam switching purpose </w:t>
      </w:r>
      <w:r w:rsidR="009539C4">
        <w:t>and</w:t>
      </w:r>
      <w:r>
        <w:t xml:space="preserve"> the time domain patterns D and E defined for FR2 can be re-used as is for operation &gt; 52.6 GHz.</w:t>
      </w:r>
    </w:p>
    <w:p w14:paraId="6FD9727B" w14:textId="4D78E33F" w:rsidR="00C15AC9" w:rsidRPr="00F94015" w:rsidRDefault="00A97A74" w:rsidP="00C15AC9">
      <w:pPr>
        <w:pStyle w:val="Proposal"/>
        <w:rPr>
          <w:b w:val="0"/>
          <w:bCs w:val="0"/>
        </w:rPr>
      </w:pPr>
      <w:bookmarkStart w:id="198" w:name="_Toc53776212"/>
      <w:r>
        <w:t>For NR operations in the 52.6 – 71 GHz band, consider only 120 and 240 kHz SCS for SS/PBCH blocks</w:t>
      </w:r>
      <w:r w:rsidR="00CE004D">
        <w:t>, as already supported in Rel-15/16</w:t>
      </w:r>
      <w:r>
        <w:t>.</w:t>
      </w:r>
      <w:bookmarkEnd w:id="198"/>
    </w:p>
    <w:p w14:paraId="33224F26" w14:textId="4EC8B110" w:rsidR="009A70FD" w:rsidRPr="003C2819" w:rsidRDefault="00620F63" w:rsidP="00C15AC9">
      <w:pPr>
        <w:pStyle w:val="Proposal"/>
        <w:rPr>
          <w:b w:val="0"/>
          <w:bCs w:val="0"/>
        </w:rPr>
      </w:pPr>
      <w:bookmarkStart w:id="199" w:name="_Toc53776213"/>
      <w:r>
        <w:t>Existing SS/PBCH time domain patterns D and E as specified in Rel-15/16 are proposed to be used also for operation in the 52.6 – 71 GHz band.</w:t>
      </w:r>
      <w:bookmarkEnd w:id="199"/>
      <w:r>
        <w:t xml:space="preserve"> </w:t>
      </w:r>
    </w:p>
    <w:p w14:paraId="14FCC3CC" w14:textId="4ACCF767" w:rsidR="00620F63" w:rsidRPr="009A3411" w:rsidRDefault="005A60F0">
      <w:pPr>
        <w:pStyle w:val="Proposal"/>
      </w:pPr>
      <w:bookmarkStart w:id="200" w:name="_Toc53776214"/>
      <w:r>
        <w:t>Capture the following observation in TR 38.808: It is observed that w</w:t>
      </w:r>
      <w:r w:rsidR="009A70FD">
        <w:t>ith 120 and 240 kHz SCS for SS/PBCH block transmissions,</w:t>
      </w:r>
      <w:r>
        <w:t xml:space="preserve"> the CP length is at least 293 ns which is </w:t>
      </w:r>
      <w:proofErr w:type="gramStart"/>
      <w:r>
        <w:t>sufficient</w:t>
      </w:r>
      <w:proofErr w:type="gramEnd"/>
      <w:r>
        <w:t xml:space="preserve"> for beam switching which typically requires &lt; 100 ns.</w:t>
      </w:r>
      <w:bookmarkEnd w:id="200"/>
      <w:r w:rsidR="00620F63">
        <w:t xml:space="preserve"> </w:t>
      </w:r>
    </w:p>
    <w:p w14:paraId="56E7BC2F" w14:textId="0854ECA2" w:rsidR="00F36059" w:rsidRDefault="00F36059" w:rsidP="00F36059">
      <w:pPr>
        <w:pStyle w:val="Proposal"/>
        <w:numPr>
          <w:ilvl w:val="0"/>
          <w:numId w:val="0"/>
        </w:numPr>
        <w:rPr>
          <w:b w:val="0"/>
          <w:bCs w:val="0"/>
        </w:rPr>
      </w:pPr>
    </w:p>
    <w:p w14:paraId="0B4154F8" w14:textId="75406D36" w:rsidR="0027741A" w:rsidRDefault="0027741A" w:rsidP="006575FB">
      <w:pPr>
        <w:pStyle w:val="BodyText"/>
      </w:pPr>
      <w:r w:rsidRPr="0027741A">
        <w:t>Using 120 and 240 kHz SCS for SS/PBCH block transmissions, also Type0-PDCCH monitoring occasions and search space set definitions as specified for FR2 operation are suitable for operation &gt; 52.6 GHz.</w:t>
      </w:r>
    </w:p>
    <w:p w14:paraId="4CD96EFC" w14:textId="34D7B563" w:rsidR="00A97A74" w:rsidRDefault="00665E76" w:rsidP="006575FB">
      <w:pPr>
        <w:pStyle w:val="BodyText"/>
      </w:pPr>
      <w:r w:rsidRPr="00026AFC">
        <w:t xml:space="preserve">Considering existing SS/PBCH / CORESET0 multiplexing patterns 2 and </w:t>
      </w:r>
      <w:r>
        <w:t xml:space="preserve">3, </w:t>
      </w:r>
      <w:proofErr w:type="gramStart"/>
      <w:r w:rsidR="00BC72CF">
        <w:t>it can be seen that they</w:t>
      </w:r>
      <w:proofErr w:type="gramEnd"/>
      <w:r>
        <w:t xml:space="preserve"> are r</w:t>
      </w:r>
      <w:r w:rsidRPr="00F94015">
        <w:t xml:space="preserve">estricted to very small RMSI payloads </w:t>
      </w:r>
      <w:r w:rsidR="004B7689" w:rsidRPr="00F94015">
        <w:t xml:space="preserve">due </w:t>
      </w:r>
      <w:r w:rsidRPr="00F94015">
        <w:t>to</w:t>
      </w:r>
      <w:r w:rsidR="004B7689" w:rsidRPr="00F94015">
        <w:t xml:space="preserve"> </w:t>
      </w:r>
      <w:r w:rsidRPr="00F94015">
        <w:t>the</w:t>
      </w:r>
      <w:r w:rsidR="004B7689" w:rsidRPr="00F94015">
        <w:t xml:space="preserve"> small number of </w:t>
      </w:r>
      <w:r w:rsidRPr="00F94015">
        <w:t>available OFDM symbols for RMSI PDSCH.</w:t>
      </w:r>
      <w:r w:rsidR="004B7689" w:rsidRPr="00F94015">
        <w:t xml:space="preserve"> </w:t>
      </w:r>
      <w:r w:rsidR="004B7689" w:rsidRPr="00EC0DF7">
        <w:fldChar w:fldCharType="begin"/>
      </w:r>
      <w:r w:rsidR="004B7689" w:rsidRPr="00C15AC9">
        <w:instrText xml:space="preserve"> REF _Ref46492683 \h </w:instrText>
      </w:r>
      <w:r w:rsidR="00C15AC9">
        <w:instrText xml:space="preserve"> \* MERGEFORMAT </w:instrText>
      </w:r>
      <w:r w:rsidR="004B7689" w:rsidRPr="00EC0DF7">
        <w:fldChar w:fldCharType="separate"/>
      </w:r>
      <w:r w:rsidR="00BE31F7" w:rsidRPr="00BE31F7">
        <w:t xml:space="preserve">Figure </w:t>
      </w:r>
      <w:r w:rsidR="00BE31F7">
        <w:t>37</w:t>
      </w:r>
      <w:r w:rsidR="004B7689" w:rsidRPr="00EC0DF7">
        <w:fldChar w:fldCharType="end"/>
      </w:r>
      <w:r w:rsidR="004B7689" w:rsidRPr="00F94015">
        <w:t xml:space="preserve"> shows two 120 kHz slots of an exemplary configuration of SS/PBCH, Type-0 PDCCH monitoring occasions, and PDSCH carrying SIB1 (RMSI). The pattern repeats in subsequent slots up to 64 SS/PBCH blocks</w:t>
      </w:r>
      <w:r w:rsidR="002303F8">
        <w:t xml:space="preserve">, except for a 0.25 </w:t>
      </w:r>
      <w:proofErr w:type="spellStart"/>
      <w:r w:rsidR="002303F8">
        <w:t>ms</w:t>
      </w:r>
      <w:proofErr w:type="spellEnd"/>
      <w:r w:rsidR="002303F8">
        <w:t xml:space="preserve"> gap in SS/PBCH block transmissions between the first 32 and the last 32 SS/PBCH block transmissions</w:t>
      </w:r>
      <w:r w:rsidR="004B7689" w:rsidRPr="00F94015">
        <w:t xml:space="preserve"> This example is based on multiplexing Pattern 2 with 240 kHz SCS for SS/PBCH blocks and 120 kHz SCS for Type0-PDCCH and RMSI PDSCH. Within the time duration of one 120 kHz slot, four SS/PBCH blocks may be transmitted as well as the </w:t>
      </w:r>
      <w:proofErr w:type="spellStart"/>
      <w:r w:rsidR="004B7689" w:rsidRPr="00F94015">
        <w:t>QCL</w:t>
      </w:r>
      <w:r w:rsidR="0089072D">
        <w:t>’</w:t>
      </w:r>
      <w:r w:rsidR="004B7689" w:rsidRPr="00F94015">
        <w:t>d</w:t>
      </w:r>
      <w:proofErr w:type="spellEnd"/>
      <w:r w:rsidR="004B7689" w:rsidRPr="00F94015">
        <w:t xml:space="preserve"> Type0-PDCCH and RMSI PDSCH. However, only 2 OFDM symbols are available for RMSI PDSCH which limits the RMSI payload. A similar limitation occurs for Pattern 3</w:t>
      </w:r>
      <w:r w:rsidR="00E45F0E" w:rsidRPr="00F94015">
        <w:t>.</w:t>
      </w:r>
    </w:p>
    <w:p w14:paraId="36A395C6" w14:textId="77777777" w:rsidR="005E37DF" w:rsidRPr="00502DE4" w:rsidRDefault="005E37DF" w:rsidP="00F94015">
      <w:pPr>
        <w:pStyle w:val="BodyText"/>
      </w:pPr>
    </w:p>
    <w:p w14:paraId="53D7E57A" w14:textId="744F89CD" w:rsidR="00E45F0E" w:rsidRPr="0035235B" w:rsidRDefault="00485453" w:rsidP="003C2819">
      <w:pPr>
        <w:pStyle w:val="Proposal"/>
      </w:pPr>
      <w:bookmarkStart w:id="201" w:name="_Toc53776215"/>
      <w:r>
        <w:t xml:space="preserve">Capture the following observation in TR 38.808: </w:t>
      </w:r>
      <w:r w:rsidR="00E45F0E" w:rsidRPr="0035235B">
        <w:t xml:space="preserve">SS/PBCH / CORESET0 multiplexing patterns 2 and 3 are restricted to very small RMSI payloads due to the </w:t>
      </w:r>
      <w:r w:rsidR="00E45F0E">
        <w:t>small</w:t>
      </w:r>
      <w:r w:rsidR="00E45F0E" w:rsidRPr="0035235B">
        <w:t xml:space="preserve"> number (2) of available OFDM symbols for RMSI PDSCH</w:t>
      </w:r>
      <w:r w:rsidR="00E45F0E">
        <w:t>.</w:t>
      </w:r>
      <w:bookmarkEnd w:id="201"/>
    </w:p>
    <w:p w14:paraId="45E741E6" w14:textId="77777777" w:rsidR="00E45F0E" w:rsidRPr="008A422C" w:rsidRDefault="00E45F0E" w:rsidP="00F94015">
      <w:pPr>
        <w:pStyle w:val="BodyText"/>
      </w:pPr>
    </w:p>
    <w:p w14:paraId="32D20EDA" w14:textId="1D1E4010" w:rsidR="004B7689" w:rsidRDefault="2087BD11" w:rsidP="00F94015">
      <w:pPr>
        <w:pStyle w:val="BodyText"/>
      </w:pPr>
      <w:r>
        <w:rPr>
          <w:noProof/>
        </w:rPr>
        <w:lastRenderedPageBreak/>
        <w:drawing>
          <wp:inline distT="0" distB="0" distL="0" distR="0" wp14:anchorId="080AA58C" wp14:editId="2F6204E4">
            <wp:extent cx="6120765" cy="3263900"/>
            <wp:effectExtent l="0" t="0" r="0" b="0"/>
            <wp:docPr id="1239340929" name="Picture 1084127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12744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120765" cy="3263900"/>
                    </a:xfrm>
                    <a:prstGeom prst="rect">
                      <a:avLst/>
                    </a:prstGeom>
                  </pic:spPr>
                </pic:pic>
              </a:graphicData>
            </a:graphic>
          </wp:inline>
        </w:drawing>
      </w:r>
    </w:p>
    <w:p w14:paraId="416046C0" w14:textId="0C0D20F8" w:rsidR="00665E76" w:rsidRPr="00F94015" w:rsidRDefault="004B7689" w:rsidP="008B4E88">
      <w:pPr>
        <w:pStyle w:val="Caption"/>
        <w:jc w:val="both"/>
        <w:rPr>
          <w:rFonts w:ascii="Arial" w:hAnsi="Arial" w:cs="Arial"/>
          <w:b w:val="0"/>
        </w:rPr>
      </w:pPr>
      <w:bookmarkStart w:id="202" w:name="_Ref46492683"/>
      <w:r w:rsidRPr="00F94015">
        <w:rPr>
          <w:rFonts w:ascii="Arial" w:hAnsi="Arial" w:cs="Arial"/>
        </w:rPr>
        <w:t xml:space="preserve">Figure </w:t>
      </w:r>
      <w:fldSimple w:instr=" SEQ Figure \* ARABIC ">
        <w:r w:rsidR="00BE31F7">
          <w:rPr>
            <w:noProof/>
          </w:rPr>
          <w:t>37</w:t>
        </w:r>
      </w:fldSimple>
      <w:bookmarkEnd w:id="202"/>
      <w:r w:rsidRPr="00F94015">
        <w:rPr>
          <w:rFonts w:ascii="Arial" w:hAnsi="Arial" w:cs="Arial"/>
        </w:rPr>
        <w:t xml:space="preserve">: Example configuration based on </w:t>
      </w:r>
      <w:r w:rsidR="00FB1110" w:rsidRPr="00F94015">
        <w:rPr>
          <w:rFonts w:ascii="Arial" w:hAnsi="Arial" w:cs="Arial"/>
        </w:rPr>
        <w:t xml:space="preserve">SS/PBCH / CORESET0 </w:t>
      </w:r>
      <w:r w:rsidR="00E45F0E" w:rsidRPr="00F94015">
        <w:rPr>
          <w:rFonts w:ascii="Arial" w:hAnsi="Arial" w:cs="Arial"/>
        </w:rPr>
        <w:t xml:space="preserve">multiplexing </w:t>
      </w:r>
      <w:r w:rsidRPr="00F94015">
        <w:rPr>
          <w:rFonts w:ascii="Arial" w:hAnsi="Arial" w:cs="Arial"/>
        </w:rPr>
        <w:t>Pattern 2</w:t>
      </w:r>
      <w:r w:rsidR="00E2130C" w:rsidRPr="00F94015">
        <w:rPr>
          <w:rFonts w:ascii="Arial" w:hAnsi="Arial" w:cs="Arial"/>
        </w:rPr>
        <w:t xml:space="preserve"> (two 120 kHz slots are shown)</w:t>
      </w:r>
      <w:r w:rsidR="00E45F0E" w:rsidRPr="00F94015">
        <w:rPr>
          <w:rFonts w:ascii="Arial" w:hAnsi="Arial" w:cs="Arial"/>
        </w:rPr>
        <w:t>. SS/PBCH is configured with 240 kHz SCS and Type0-PDCCH + RMSI PDSCH are configured with 120 kHz SCS.</w:t>
      </w:r>
    </w:p>
    <w:p w14:paraId="7CCE6D0C" w14:textId="08ADA32D" w:rsidR="009173C8" w:rsidRDefault="00E45F0E" w:rsidP="006575FB">
      <w:pPr>
        <w:pStyle w:val="BodyText"/>
      </w:pPr>
      <w:r w:rsidRPr="0093469D">
        <w:t xml:space="preserve">In order to carry practical RMSI payloads (e.g., </w:t>
      </w:r>
      <w:r w:rsidR="00FB1110" w:rsidRPr="0093469D">
        <w:t xml:space="preserve">on the order of </w:t>
      </w:r>
      <w:r w:rsidRPr="0093469D">
        <w:t xml:space="preserve">700 bits), Pattern 1 is less restrictive </w:t>
      </w:r>
      <w:proofErr w:type="gramStart"/>
      <w:r w:rsidRPr="0093469D">
        <w:t>due to the fact that</w:t>
      </w:r>
      <w:proofErr w:type="gramEnd"/>
      <w:r w:rsidRPr="0093469D">
        <w:t xml:space="preserve"> Type0-PDCCH / RMSI PDSCH are time division multiplexed</w:t>
      </w:r>
      <w:r w:rsidR="00E2130C" w:rsidRPr="0093469D">
        <w:t xml:space="preserve"> with SS/PBCH instead of frequency division multiplexed</w:t>
      </w:r>
      <w:r w:rsidRPr="0093469D">
        <w:t xml:space="preserve">. In fact, if the offset O in 38.213 Table 13-12 is chosen to be non-zero, Type0-PDCCH + RMSI PDSCH can be configured to </w:t>
      </w:r>
      <w:r w:rsidRPr="0093469D" w:rsidDel="00566895">
        <w:t xml:space="preserve">occupy </w:t>
      </w:r>
      <w:r w:rsidRPr="0093469D">
        <w:t xml:space="preserve">separate </w:t>
      </w:r>
      <w:r w:rsidRPr="00AD4E63">
        <w:t xml:space="preserve">slots </w:t>
      </w:r>
      <w:r w:rsidR="00BC72CF" w:rsidRPr="00F94015">
        <w:t>not containing</w:t>
      </w:r>
      <w:r w:rsidRPr="00AD4E63">
        <w:t xml:space="preserve"> SS/PBCH </w:t>
      </w:r>
      <w:r w:rsidRPr="00F94015">
        <w:t>block</w:t>
      </w:r>
      <w:r w:rsidR="00BC72CF" w:rsidRPr="00F94015">
        <w:t>(s)</w:t>
      </w:r>
      <w:r w:rsidRPr="00F94015">
        <w:t>.</w:t>
      </w:r>
      <w:r w:rsidR="00E2130C" w:rsidRPr="00AD4E63">
        <w:t xml:space="preserve"> With</w:t>
      </w:r>
      <w:r w:rsidR="00E2130C" w:rsidRPr="00F94015">
        <w:t xml:space="preserve"> </w:t>
      </w:r>
      <w:r w:rsidR="00BC72CF" w:rsidRPr="00F94015">
        <w:t>the</w:t>
      </w:r>
      <w:r w:rsidR="00E2130C" w:rsidRPr="0093469D">
        <w:t xml:space="preserve"> existing Default SLIV Table A in 38.214, RMSI PDSCH can be configured to start at OFDM symbols 2 and 6 with length = 4. This doubles the RMSI payload compared to Pattern 2 shown in </w:t>
      </w:r>
      <w:r w:rsidR="00E2130C" w:rsidRPr="002D276E">
        <w:fldChar w:fldCharType="begin"/>
      </w:r>
      <w:r w:rsidR="00E2130C" w:rsidRPr="0093469D">
        <w:instrText xml:space="preserve"> REF _Ref46492683 \h </w:instrText>
      </w:r>
      <w:r w:rsidR="0093469D">
        <w:instrText xml:space="preserve"> \* MERGEFORMAT </w:instrText>
      </w:r>
      <w:r w:rsidR="00E2130C" w:rsidRPr="002D276E">
        <w:fldChar w:fldCharType="separate"/>
      </w:r>
      <w:r w:rsidR="00BE31F7" w:rsidRPr="00BE31F7">
        <w:t xml:space="preserve">Figure </w:t>
      </w:r>
      <w:r w:rsidR="00BE31F7">
        <w:t>37</w:t>
      </w:r>
      <w:r w:rsidR="00E2130C" w:rsidRPr="002D276E">
        <w:fldChar w:fldCharType="end"/>
      </w:r>
      <w:r w:rsidR="00E2130C" w:rsidRPr="0093469D">
        <w:t>.</w:t>
      </w:r>
      <w:r w:rsidR="00E41D07">
        <w:t xml:space="preserve"> </w:t>
      </w:r>
      <w:r w:rsidR="009173C8">
        <w:t>Even larger RMSI payloads can be supported by configuring M = 1 from 38.213 Table 13-12 (one Type0-PDCCH search space per slot) and using longer PDSCH allocations from Default Table A (lengths 10, 11, and 12 symbols are supported)</w:t>
      </w:r>
      <w:r w:rsidR="009173C8">
        <w:rPr>
          <w:rFonts w:cs="Arial"/>
          <w:lang w:eastAsia="en-GB"/>
        </w:rPr>
        <w:t>.</w:t>
      </w:r>
    </w:p>
    <w:p w14:paraId="1205C88D" w14:textId="04BBC054" w:rsidR="00FB1110" w:rsidRPr="0093469D" w:rsidRDefault="00E41D07" w:rsidP="006575FB">
      <w:pPr>
        <w:pStyle w:val="BodyText"/>
      </w:pPr>
      <w:r>
        <w:t xml:space="preserve">In addition, using multiplexing pattern 2, the total SS/PBCH + PDCCH/PDSCH bandwidth exceeds 100 MHz (126.7 MHz), which is above the </w:t>
      </w:r>
      <w:r w:rsidR="00765E87">
        <w:t>FCC BW limitation</w:t>
      </w:r>
      <w:r w:rsidR="00303E19">
        <w:t xml:space="preserve"> related to max Tx power</w:t>
      </w:r>
      <w:r w:rsidR="00765E87">
        <w:t xml:space="preserve">. With transmissions above 100 MHz, the FCC power limitation </w:t>
      </w:r>
      <w:r w:rsidR="00303E19">
        <w:t>implies that the max Tx power needs to be shared over the full bandwidth, which means reduced Tx power for the SS/PBCH transmission which</w:t>
      </w:r>
      <w:r w:rsidR="00765E87">
        <w:t xml:space="preserve"> will impact cell coverage. </w:t>
      </w:r>
    </w:p>
    <w:p w14:paraId="616B5815" w14:textId="77777777" w:rsidR="005E37DF" w:rsidRPr="0093469D" w:rsidRDefault="005E37DF" w:rsidP="00F94015">
      <w:pPr>
        <w:pStyle w:val="BodyText"/>
      </w:pPr>
    </w:p>
    <w:p w14:paraId="5C1D1D02" w14:textId="2DA07C88" w:rsidR="00E2130C" w:rsidRPr="0035235B" w:rsidRDefault="009173C8" w:rsidP="003C2819">
      <w:pPr>
        <w:pStyle w:val="Proposal"/>
      </w:pPr>
      <w:bookmarkStart w:id="203" w:name="_Toc53776216"/>
      <w:r>
        <w:t xml:space="preserve">Capture the following observation in TR 38.808: </w:t>
      </w:r>
      <w:r w:rsidR="008B556D">
        <w:t>For the maximum number of beams (64), i</w:t>
      </w:r>
      <w:r>
        <w:t xml:space="preserve">t is observed that </w:t>
      </w:r>
      <w:r w:rsidR="00E2130C" w:rsidRPr="0035235B">
        <w:t>SS/PBCH / CORESET0 multiplexing pattern 1</w:t>
      </w:r>
      <w:r w:rsidR="00303E19">
        <w:t xml:space="preserve"> can carry larger payload than multiplexing patterns 2 and 3</w:t>
      </w:r>
      <w:r w:rsidR="00E2130C" w:rsidRPr="0035235B">
        <w:t xml:space="preserve"> due to </w:t>
      </w:r>
      <w:r w:rsidR="00395684">
        <w:t xml:space="preserve">the fact </w:t>
      </w:r>
      <w:r w:rsidR="00E2130C" w:rsidRPr="0035235B">
        <w:t>that SS/PBCH and RMSI PDCCH/PDSCH are time division multiplexed.</w:t>
      </w:r>
      <w:bookmarkEnd w:id="203"/>
    </w:p>
    <w:p w14:paraId="0EAB4906" w14:textId="77777777" w:rsidR="00E2130C" w:rsidRPr="00723A12" w:rsidRDefault="00E2130C" w:rsidP="00F94015">
      <w:pPr>
        <w:pStyle w:val="BodyText"/>
      </w:pPr>
    </w:p>
    <w:p w14:paraId="2FB301C7" w14:textId="77777777" w:rsidR="00E2130C" w:rsidRPr="00723A12" w:rsidRDefault="00E2130C" w:rsidP="00F94015">
      <w:pPr>
        <w:pStyle w:val="BodyText"/>
      </w:pPr>
    </w:p>
    <w:p w14:paraId="78ACE463" w14:textId="1233A72B" w:rsidR="00FB1110" w:rsidRDefault="00FB1110" w:rsidP="00F94015">
      <w:pPr>
        <w:pStyle w:val="BodyText"/>
      </w:pPr>
      <w:r>
        <w:rPr>
          <w:noProof/>
        </w:rPr>
        <w:lastRenderedPageBreak/>
        <w:drawing>
          <wp:inline distT="0" distB="0" distL="0" distR="0" wp14:anchorId="1ECD9C16" wp14:editId="61BFF5DE">
            <wp:extent cx="6858000" cy="2916936"/>
            <wp:effectExtent l="0" t="0" r="0" b="0"/>
            <wp:docPr id="161447109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64">
                      <a:extLst>
                        <a:ext uri="{28A0092B-C50C-407E-A947-70E740481C1C}">
                          <a14:useLocalDpi xmlns:a14="http://schemas.microsoft.com/office/drawing/2010/main" val="0"/>
                        </a:ext>
                      </a:extLst>
                    </a:blip>
                    <a:stretch>
                      <a:fillRect/>
                    </a:stretch>
                  </pic:blipFill>
                  <pic:spPr>
                    <a:xfrm>
                      <a:off x="0" y="0"/>
                      <a:ext cx="6858000" cy="2916936"/>
                    </a:xfrm>
                    <a:prstGeom prst="rect">
                      <a:avLst/>
                    </a:prstGeom>
                  </pic:spPr>
                </pic:pic>
              </a:graphicData>
            </a:graphic>
          </wp:inline>
        </w:drawing>
      </w:r>
    </w:p>
    <w:p w14:paraId="7CFFFBA8" w14:textId="000CAADA" w:rsidR="00FB1110" w:rsidRDefault="00FB1110" w:rsidP="00FB1110">
      <w:pPr>
        <w:pStyle w:val="Caption"/>
        <w:jc w:val="both"/>
        <w:rPr>
          <w:rFonts w:ascii="Arial" w:hAnsi="Arial" w:cs="Arial"/>
        </w:rPr>
      </w:pPr>
      <w:bookmarkStart w:id="204" w:name="_Ref46494812"/>
      <w:r w:rsidRPr="00F94015">
        <w:rPr>
          <w:rFonts w:ascii="Arial" w:hAnsi="Arial" w:cs="Arial"/>
        </w:rPr>
        <w:t xml:space="preserve">Figure </w:t>
      </w:r>
      <w:fldSimple w:instr=" SEQ Figure \* ARABIC ">
        <w:r w:rsidR="00BE31F7">
          <w:rPr>
            <w:noProof/>
          </w:rPr>
          <w:t>38</w:t>
        </w:r>
      </w:fldSimple>
      <w:bookmarkEnd w:id="204"/>
      <w:r w:rsidRPr="00F94015">
        <w:rPr>
          <w:rFonts w:ascii="Arial" w:hAnsi="Arial" w:cs="Arial"/>
        </w:rPr>
        <w:t>: Example configuration based on SS/PBCH / CORESET0 multiplexing Pattern 1</w:t>
      </w:r>
      <w:r w:rsidR="00E2130C" w:rsidRPr="00F94015">
        <w:rPr>
          <w:rFonts w:ascii="Arial" w:hAnsi="Arial" w:cs="Arial"/>
        </w:rPr>
        <w:t xml:space="preserve"> (two 120 kHz slots are shown)</w:t>
      </w:r>
      <w:r w:rsidRPr="00F94015">
        <w:rPr>
          <w:rFonts w:ascii="Arial" w:hAnsi="Arial" w:cs="Arial"/>
        </w:rPr>
        <w:t xml:space="preserve">. The SS/PBCH is configuration follows the same pattern </w:t>
      </w:r>
      <w:r w:rsidR="00E2130C" w:rsidRPr="00F94015">
        <w:rPr>
          <w:rFonts w:ascii="Arial" w:hAnsi="Arial" w:cs="Arial"/>
        </w:rPr>
        <w:t xml:space="preserve">as shown </w:t>
      </w:r>
      <w:r w:rsidRPr="00F94015">
        <w:rPr>
          <w:rFonts w:ascii="Arial" w:hAnsi="Arial" w:cs="Arial"/>
        </w:rPr>
        <w:t xml:space="preserve">in </w:t>
      </w:r>
      <w:r w:rsidRPr="00F94015">
        <w:rPr>
          <w:rFonts w:ascii="Arial" w:hAnsi="Arial" w:cs="Arial"/>
        </w:rPr>
        <w:fldChar w:fldCharType="begin"/>
      </w:r>
      <w:r w:rsidRPr="00F94015">
        <w:rPr>
          <w:rFonts w:ascii="Arial" w:hAnsi="Arial" w:cs="Arial"/>
        </w:rPr>
        <w:instrText xml:space="preserve"> REF _Ref46492683 \h </w:instrText>
      </w:r>
      <w:r w:rsidR="00862E23">
        <w:rPr>
          <w:rFonts w:ascii="Arial" w:hAnsi="Arial" w:cs="Arial"/>
        </w:rPr>
        <w:instrText xml:space="preserve"> \* MERGEFORMAT </w:instrText>
      </w:r>
      <w:r w:rsidRPr="00F94015">
        <w:rPr>
          <w:rFonts w:ascii="Arial" w:hAnsi="Arial" w:cs="Arial"/>
        </w:rPr>
      </w:r>
      <w:r w:rsidRPr="00F94015">
        <w:rPr>
          <w:rFonts w:ascii="Arial" w:hAnsi="Arial" w:cs="Arial"/>
        </w:rPr>
        <w:fldChar w:fldCharType="separate"/>
      </w:r>
      <w:r w:rsidR="00BE31F7" w:rsidRPr="00F94015">
        <w:rPr>
          <w:rFonts w:ascii="Arial" w:hAnsi="Arial" w:cs="Arial"/>
        </w:rPr>
        <w:t xml:space="preserve">Figure </w:t>
      </w:r>
      <w:r w:rsidR="00BE31F7" w:rsidRPr="00BE31F7">
        <w:rPr>
          <w:rFonts w:ascii="Arial" w:hAnsi="Arial" w:cs="Arial"/>
          <w:noProof/>
        </w:rPr>
        <w:t>37</w:t>
      </w:r>
      <w:r w:rsidRPr="00F94015">
        <w:rPr>
          <w:rFonts w:ascii="Arial" w:hAnsi="Arial" w:cs="Arial"/>
        </w:rPr>
        <w:fldChar w:fldCharType="end"/>
      </w:r>
      <w:r w:rsidRPr="00F94015">
        <w:rPr>
          <w:rFonts w:ascii="Arial" w:hAnsi="Arial" w:cs="Arial"/>
        </w:rPr>
        <w:t xml:space="preserve"> (240 kHz SCS). The Type0-PDCCH + RMSI PDSCH are configured with 120 kHz SCS and occupy separate slots due to configuration of non-zero offset O</w:t>
      </w:r>
      <w:r w:rsidR="00E2130C" w:rsidRPr="00F94015">
        <w:rPr>
          <w:rFonts w:ascii="Arial" w:hAnsi="Arial" w:cs="Arial"/>
        </w:rPr>
        <w:t xml:space="preserve"> = 2.5</w:t>
      </w:r>
      <w:r w:rsidRPr="00F94015">
        <w:rPr>
          <w:rFonts w:ascii="Arial" w:hAnsi="Arial" w:cs="Arial"/>
        </w:rPr>
        <w:t>.</w:t>
      </w:r>
    </w:p>
    <w:p w14:paraId="37DDE4D7" w14:textId="077B2461" w:rsidR="00597829" w:rsidRDefault="00597829" w:rsidP="004F69A1">
      <w:pPr>
        <w:pStyle w:val="BodyText"/>
        <w:rPr>
          <w:rFonts w:cs="Arial"/>
          <w:lang w:eastAsia="en-GB"/>
        </w:rPr>
      </w:pPr>
      <w:r w:rsidRPr="004F69A1">
        <w:t>If 32 or fewer beams are require</w:t>
      </w:r>
      <w:r>
        <w:rPr>
          <w:rFonts w:cs="Arial"/>
          <w:lang w:eastAsia="en-GB"/>
        </w:rPr>
        <w:t>d for a certain deployment, multiplexing pattern 1 using zero offset is an alternative configuration option to achieve a length L=4 PDSCH for RMSI transmission</w:t>
      </w:r>
      <w:r w:rsidR="00E52C5F">
        <w:rPr>
          <w:rFonts w:cs="Arial"/>
          <w:lang w:eastAsia="en-GB"/>
        </w:rPr>
        <w:t xml:space="preserve"> in which case SSB and RMSI are multiplexed in the same slot</w:t>
      </w:r>
      <w:r>
        <w:rPr>
          <w:rFonts w:cs="Arial"/>
          <w:lang w:eastAsia="en-GB"/>
        </w:rPr>
        <w:t xml:space="preserve">. </w:t>
      </w:r>
      <w:proofErr w:type="gramStart"/>
      <w:r w:rsidR="0057390C">
        <w:rPr>
          <w:rFonts w:cs="Arial"/>
          <w:lang w:eastAsia="en-GB"/>
        </w:rPr>
        <w:t>Also</w:t>
      </w:r>
      <w:proofErr w:type="gramEnd"/>
      <w:r w:rsidR="0057390C">
        <w:rPr>
          <w:rFonts w:cs="Arial"/>
          <w:lang w:eastAsia="en-GB"/>
        </w:rPr>
        <w:t xml:space="preserve"> with multiplexing patterns 2 and 3, with 32 or fewer beams a 4</w:t>
      </w:r>
      <w:r w:rsidR="00C1323A">
        <w:rPr>
          <w:rFonts w:cs="Arial"/>
          <w:lang w:eastAsia="en-GB"/>
        </w:rPr>
        <w:t>-</w:t>
      </w:r>
      <w:r w:rsidR="0057390C">
        <w:rPr>
          <w:rFonts w:cs="Arial"/>
          <w:lang w:eastAsia="en-GB"/>
        </w:rPr>
        <w:t>symbol PDSCH for RMSI transmission can be configured.</w:t>
      </w:r>
      <w:r>
        <w:rPr>
          <w:rFonts w:cs="Arial"/>
          <w:lang w:eastAsia="en-GB"/>
        </w:rPr>
        <w:t xml:space="preserve"> </w:t>
      </w:r>
    </w:p>
    <w:p w14:paraId="1134A984" w14:textId="013CCB1E" w:rsidR="00F36059" w:rsidRPr="00597829" w:rsidRDefault="00F36059" w:rsidP="004F69A1">
      <w:pPr>
        <w:pStyle w:val="BodyText"/>
        <w:rPr>
          <w:rFonts w:cs="Arial"/>
          <w:lang w:eastAsia="en-GB"/>
        </w:rPr>
      </w:pPr>
      <w:r w:rsidRPr="004F69A1">
        <w:t xml:space="preserve">As shown with the examples and observations above, </w:t>
      </w:r>
      <w:r w:rsidR="00E52C5F">
        <w:rPr>
          <w:rFonts w:cs="Arial"/>
          <w:lang w:eastAsia="en-GB"/>
        </w:rPr>
        <w:t xml:space="preserve">existing </w:t>
      </w:r>
      <w:r w:rsidRPr="00597829">
        <w:rPr>
          <w:rFonts w:cs="Arial"/>
          <w:lang w:eastAsia="en-GB"/>
        </w:rPr>
        <w:t xml:space="preserve">FR2 </w:t>
      </w:r>
      <w:r w:rsidR="000A38D9">
        <w:rPr>
          <w:rFonts w:cs="Arial"/>
          <w:lang w:eastAsia="en-GB"/>
        </w:rPr>
        <w:t>SS/PBCH block and CORESET</w:t>
      </w:r>
      <w:r w:rsidR="001C4D70">
        <w:rPr>
          <w:rFonts w:cs="Arial"/>
          <w:lang w:eastAsia="en-GB"/>
        </w:rPr>
        <w:t>0</w:t>
      </w:r>
      <w:r w:rsidR="000A38D9">
        <w:rPr>
          <w:rFonts w:cs="Arial"/>
          <w:lang w:eastAsia="en-GB"/>
        </w:rPr>
        <w:t xml:space="preserve"> </w:t>
      </w:r>
      <w:r w:rsidRPr="00597829">
        <w:rPr>
          <w:rFonts w:cs="Arial"/>
          <w:lang w:eastAsia="en-GB"/>
        </w:rPr>
        <w:t xml:space="preserve">multiplexing patterns are suitable also for operation &gt; 52.6 GHz. Multiplexing pattern 1 can be used </w:t>
      </w:r>
      <w:r w:rsidR="009A3411" w:rsidRPr="00597829">
        <w:rPr>
          <w:rFonts w:cs="Arial"/>
          <w:lang w:eastAsia="en-GB"/>
        </w:rPr>
        <w:t>for standalone operation</w:t>
      </w:r>
      <w:r w:rsidR="00E52C5F">
        <w:rPr>
          <w:rFonts w:cs="Arial"/>
          <w:lang w:eastAsia="en-GB"/>
        </w:rPr>
        <w:t xml:space="preserve"> for which larger RMSI payloads are required</w:t>
      </w:r>
      <w:r w:rsidR="009A3411" w:rsidRPr="00597829">
        <w:rPr>
          <w:rFonts w:cs="Arial"/>
          <w:lang w:eastAsia="en-GB"/>
        </w:rPr>
        <w:t xml:space="preserve">, while multiplexing patterns 2 and 3 </w:t>
      </w:r>
      <w:r w:rsidR="00597829">
        <w:rPr>
          <w:rFonts w:cs="Arial"/>
          <w:lang w:eastAsia="en-GB"/>
        </w:rPr>
        <w:t xml:space="preserve">can be used </w:t>
      </w:r>
      <w:r w:rsidR="009A3411" w:rsidRPr="00597829">
        <w:rPr>
          <w:rFonts w:cs="Arial"/>
          <w:lang w:eastAsia="en-GB"/>
        </w:rPr>
        <w:t>for operation when a smaller RMSI payload is enough</w:t>
      </w:r>
      <w:r w:rsidR="008B556D">
        <w:rPr>
          <w:rFonts w:cs="Arial"/>
          <w:lang w:eastAsia="en-GB"/>
        </w:rPr>
        <w:t>, or when 32 or fewer beams are used</w:t>
      </w:r>
      <w:r w:rsidR="009A3411" w:rsidRPr="00597829">
        <w:rPr>
          <w:rFonts w:cs="Arial"/>
          <w:lang w:eastAsia="en-GB"/>
        </w:rPr>
        <w:t xml:space="preserve">. </w:t>
      </w:r>
      <w:r w:rsidR="001C4D70">
        <w:rPr>
          <w:rFonts w:cs="Arial"/>
          <w:lang w:eastAsia="en-GB"/>
        </w:rPr>
        <w:t>Reusing FR2 SS/PBCH block and CORESET0 multiplexing patterns, t</w:t>
      </w:r>
      <w:r w:rsidR="00F112DE">
        <w:rPr>
          <w:rFonts w:cs="Arial"/>
          <w:lang w:eastAsia="en-GB"/>
        </w:rPr>
        <w:t>he Type0-PDCCH search space configurations as defined in Rel-15/16 are suitable also for NR operations above 52.6 GHz.</w:t>
      </w:r>
      <w:r w:rsidR="00327C3C">
        <w:rPr>
          <w:rFonts w:cs="Arial"/>
          <w:lang w:eastAsia="en-GB"/>
        </w:rPr>
        <w:t xml:space="preserve"> In summary, the existing Rel-15/16 framework for initial access provides </w:t>
      </w:r>
      <w:proofErr w:type="gramStart"/>
      <w:r w:rsidR="00327C3C">
        <w:rPr>
          <w:rFonts w:cs="Arial"/>
          <w:lang w:eastAsia="en-GB"/>
        </w:rPr>
        <w:t>sufficient</w:t>
      </w:r>
      <w:proofErr w:type="gramEnd"/>
      <w:r w:rsidR="00327C3C">
        <w:rPr>
          <w:rFonts w:cs="Arial"/>
          <w:lang w:eastAsia="en-GB"/>
        </w:rPr>
        <w:t xml:space="preserve"> flexibility for operation also above </w:t>
      </w:r>
      <w:r w:rsidR="001C4D70">
        <w:rPr>
          <w:rFonts w:cs="Arial"/>
          <w:lang w:eastAsia="en-GB"/>
        </w:rPr>
        <w:t>52.6 GHz.</w:t>
      </w:r>
    </w:p>
    <w:p w14:paraId="0E546F89" w14:textId="236B0D8D" w:rsidR="00327C3C" w:rsidRPr="00597829" w:rsidRDefault="00327C3C" w:rsidP="003C2819">
      <w:pPr>
        <w:pStyle w:val="Proposal"/>
      </w:pPr>
      <w:bookmarkStart w:id="205" w:name="_Toc53776217"/>
      <w:r>
        <w:t>Capture the following observation in TR 38.808: Existing Rel-15/16 framework for initial access including SS/PBCH-CORESET0 multiplexing patterns, multiplexing of SS/PBCH and other signals/channels, and Type0-PDCCH CSS configurations have significant flexibility to cover a large number of deployment scenarios in the 52.6 – 71 GHz band.</w:t>
      </w:r>
      <w:bookmarkEnd w:id="205"/>
    </w:p>
    <w:p w14:paraId="68AB9DA5" w14:textId="77777777" w:rsidR="00F112DE" w:rsidRDefault="00F112DE" w:rsidP="007B4ACE">
      <w:pPr>
        <w:pStyle w:val="BodyText"/>
        <w:rPr>
          <w:b/>
          <w:bCs/>
          <w:u w:val="single"/>
        </w:rPr>
      </w:pPr>
    </w:p>
    <w:p w14:paraId="024506BD" w14:textId="77777777" w:rsidR="007B4ACE" w:rsidRPr="00F94015" w:rsidRDefault="007B4ACE" w:rsidP="007B4ACE">
      <w:pPr>
        <w:pStyle w:val="BodyText"/>
        <w:rPr>
          <w:b/>
          <w:u w:val="single"/>
        </w:rPr>
      </w:pPr>
      <w:r>
        <w:rPr>
          <w:b/>
          <w:bCs/>
          <w:u w:val="single"/>
        </w:rPr>
        <w:t>D</w:t>
      </w:r>
      <w:r w:rsidRPr="00F94015">
        <w:rPr>
          <w:b/>
          <w:bCs/>
          <w:u w:val="single"/>
        </w:rPr>
        <w:t>iscovery</w:t>
      </w:r>
      <w:r w:rsidRPr="00F94015">
        <w:rPr>
          <w:b/>
          <w:u w:val="single"/>
        </w:rPr>
        <w:t xml:space="preserve"> Burst Transmission Window</w:t>
      </w:r>
    </w:p>
    <w:p w14:paraId="2D20223B" w14:textId="607AD6EB" w:rsidR="007B4ACE" w:rsidRDefault="007B4ACE" w:rsidP="007B4ACE">
      <w:pPr>
        <w:pStyle w:val="BodyText"/>
      </w:pPr>
      <w:r>
        <w:t xml:space="preserve">For NR-U in the 5/6 GHz band, allowing the SS/PBCH blocks to slide within the discovery burst transmission window due to LBT outcome is an optimization. At low-to-moderate loads – the preferred operating point of the system – and/or in controlled environments, a large fraction of the time, sliding is not needed. Furthermore, occasional dropping of an SS/PBCH block </w:t>
      </w:r>
      <w:r w:rsidR="006C3F96">
        <w:t xml:space="preserve">due </w:t>
      </w:r>
      <w:r>
        <w:t>to LBT failure is not disastrous to system performance.</w:t>
      </w:r>
    </w:p>
    <w:p w14:paraId="44CDF34C" w14:textId="7B5FAEA7" w:rsidR="007B4ACE" w:rsidRDefault="007B4ACE" w:rsidP="007B4ACE">
      <w:pPr>
        <w:pStyle w:val="BodyText"/>
      </w:pPr>
      <w:bookmarkStart w:id="206" w:name="_Hlk52951538"/>
      <w:r>
        <w:t xml:space="preserve">In the 52.6 – 71 GHz band, the need for sliding within a window is even less since LBT failure is rare. </w:t>
      </w:r>
      <w:proofErr w:type="gramStart"/>
      <w:r>
        <w:t>First of all</w:t>
      </w:r>
      <w:proofErr w:type="gramEnd"/>
      <w:r>
        <w:t xml:space="preserve">, LBT is not a requirement in all regulatory regions or bands. In addition, as discussed in our companion paper on channel access mechanisms </w:t>
      </w:r>
      <w:r>
        <w:fldChar w:fldCharType="begin"/>
      </w:r>
      <w:r>
        <w:instrText xml:space="preserve"> REF _Ref52864098 \r \h </w:instrText>
      </w:r>
      <w:r>
        <w:fldChar w:fldCharType="separate"/>
      </w:r>
      <w:r w:rsidR="00BE31F7">
        <w:t>[4]</w:t>
      </w:r>
      <w:r>
        <w:fldChar w:fldCharType="end"/>
      </w:r>
      <w:r>
        <w:t xml:space="preserve">, there was an agreement in RAN1#102-e to support operation both with LBT and without LBT.  Even for regions/bands where LBT is required (e.g., c1 band according to </w:t>
      </w:r>
      <w:r w:rsidR="007F3371">
        <w:t>HS EN 302 567</w:t>
      </w:r>
      <w:r>
        <w:t xml:space="preserve">), the LBT threshold is much higher than for the 5/6 GHz band. System simulation results (see </w:t>
      </w:r>
      <w:r>
        <w:fldChar w:fldCharType="begin"/>
      </w:r>
      <w:r>
        <w:instrText xml:space="preserve"> REF _Ref46490548 \r \h  \* MERGEFORMAT </w:instrText>
      </w:r>
      <w:r>
        <w:fldChar w:fldCharType="separate"/>
      </w:r>
      <w:r w:rsidR="00BE31F7">
        <w:t>[4]</w:t>
      </w:r>
      <w:r>
        <w:fldChar w:fldCharType="end"/>
      </w:r>
      <w:r>
        <w:t xml:space="preserve">) show that the system performance without LBT is on par, or even better, than with LBT. This can be explained by the fact that the inherent use of narrow beams and the large path loss significantly reduces the probability of interference. For these reasons, it is not necessary to optimize the SS/PBCH transmission/reception mechanism by </w:t>
      </w:r>
      <w:r w:rsidR="00FA53E7">
        <w:t xml:space="preserve">introducing </w:t>
      </w:r>
      <w:r>
        <w:t>a transmission window.</w:t>
      </w:r>
      <w:bookmarkEnd w:id="206"/>
    </w:p>
    <w:p w14:paraId="6C96301E" w14:textId="180D6788" w:rsidR="007B4ACE" w:rsidRPr="00444773" w:rsidRDefault="009A70FD" w:rsidP="007B4ACE">
      <w:pPr>
        <w:pStyle w:val="Proposal"/>
        <w:rPr>
          <w:b w:val="0"/>
          <w:bCs w:val="0"/>
        </w:rPr>
      </w:pPr>
      <w:bookmarkStart w:id="207" w:name="_Toc53655935"/>
      <w:bookmarkStart w:id="208" w:name="_Toc53740272"/>
      <w:bookmarkStart w:id="209" w:name="_Toc53740370"/>
      <w:bookmarkStart w:id="210" w:name="_Toc53740435"/>
      <w:bookmarkStart w:id="211" w:name="_Toc53740500"/>
      <w:bookmarkStart w:id="212" w:name="_Toc53740564"/>
      <w:bookmarkStart w:id="213" w:name="_Toc53774129"/>
      <w:bookmarkStart w:id="214" w:name="_Toc53776218"/>
      <w:bookmarkEnd w:id="207"/>
      <w:bookmarkEnd w:id="208"/>
      <w:bookmarkEnd w:id="209"/>
      <w:bookmarkEnd w:id="210"/>
      <w:bookmarkEnd w:id="211"/>
      <w:bookmarkEnd w:id="212"/>
      <w:bookmarkEnd w:id="213"/>
      <w:r>
        <w:t xml:space="preserve">Capture the following observation in TR 38.808: </w:t>
      </w:r>
      <w:r w:rsidR="009C1951">
        <w:t xml:space="preserve">The distribution of interference + noise in the 52.6 – 71 GHz band is typically well below the LBT threshold of -47 dBm, and thus </w:t>
      </w:r>
      <w:r w:rsidR="009C1951">
        <w:lastRenderedPageBreak/>
        <w:t>deferral due to LBT failure is rare. Hence, it is not beneficial to introduce a transmission window for SS/PBCH + RMSI transmissions.</w:t>
      </w:r>
      <w:bookmarkEnd w:id="214"/>
    </w:p>
    <w:p w14:paraId="207D4ECE" w14:textId="77777777" w:rsidR="007B4ACE" w:rsidRDefault="007B4ACE" w:rsidP="00F94015">
      <w:pPr>
        <w:pStyle w:val="BodyText"/>
      </w:pPr>
    </w:p>
    <w:p w14:paraId="3746CC91" w14:textId="2008F40E" w:rsidR="00F64346" w:rsidRPr="003C2819" w:rsidRDefault="00F64346" w:rsidP="00F94015">
      <w:pPr>
        <w:pStyle w:val="BodyText"/>
        <w:rPr>
          <w:b/>
          <w:bCs/>
          <w:u w:val="single"/>
        </w:rPr>
      </w:pPr>
      <w:r w:rsidRPr="003C2819">
        <w:rPr>
          <w:rFonts w:eastAsia="Batang"/>
          <w:b/>
          <w:bCs/>
          <w:color w:val="181818"/>
          <w:spacing w:val="-6"/>
          <w:kern w:val="20"/>
          <w:u w:val="single"/>
        </w:rPr>
        <w:t>Consideration of SSB-based RRM/RLM and beam management</w:t>
      </w:r>
      <w:r w:rsidRPr="003C2819" w:rsidDel="00BB2F57">
        <w:rPr>
          <w:b/>
          <w:bCs/>
          <w:u w:val="single"/>
        </w:rPr>
        <w:t xml:space="preserve"> </w:t>
      </w:r>
      <w:r w:rsidR="0089072D">
        <w:rPr>
          <w:b/>
          <w:bCs/>
          <w:u w:val="single"/>
        </w:rPr>
        <w:t>(BM)</w:t>
      </w:r>
    </w:p>
    <w:p w14:paraId="4AED50A7" w14:textId="1B12C1A6" w:rsidR="0089072D" w:rsidRDefault="0089072D" w:rsidP="00F94015">
      <w:pPr>
        <w:pStyle w:val="BodyText"/>
      </w:pPr>
      <w:r>
        <w:t xml:space="preserve">In 38.133 RAN4 defines scheduling restrictions (both for UL and DL) during RRM, RLM and BM procedures (§8.1.7, §9.2.5.3, §8.5.7 and §8.5.8). Currently only RRM has a one data channel symbol gap before and after the SSB symbols to be measured. </w:t>
      </w:r>
      <w:r w:rsidR="007E68F9">
        <w:t xml:space="preserve">This is to handle the time misalignment between neighbor cells. </w:t>
      </w:r>
      <w:r>
        <w:t>For RLM and BM</w:t>
      </w:r>
      <w:r w:rsidR="007E68F9">
        <w:t xml:space="preserve"> there are no gaps defined. Depending on the chosen SCS, RAN4 might need extend the gap for RRM and introduce gaps also for RLM and BM. </w:t>
      </w:r>
      <w:r w:rsidR="00907873">
        <w:t>However</w:t>
      </w:r>
      <w:r w:rsidR="007E68F9">
        <w:t>, this topic is within the responsibility of RAN4</w:t>
      </w:r>
      <w:r w:rsidR="00F46EFB">
        <w:t xml:space="preserve"> and does not affect the choice of SCS</w:t>
      </w:r>
      <w:r w:rsidR="00F87732">
        <w:t xml:space="preserve"> in any larger extent</w:t>
      </w:r>
      <w:r w:rsidR="007E68F9">
        <w:t>, so we don’t see that this need to be discussed further in RAN1.</w:t>
      </w:r>
    </w:p>
    <w:p w14:paraId="618CC011" w14:textId="0104C9D5" w:rsidR="00DD28D6" w:rsidRPr="00502DE4" w:rsidRDefault="00DD28D6" w:rsidP="004F69A1">
      <w:pPr>
        <w:pStyle w:val="Observation"/>
        <w:ind w:left="1710" w:hanging="1710"/>
      </w:pPr>
      <w:bookmarkStart w:id="215" w:name="_Toc53775924"/>
      <w:r>
        <w:t xml:space="preserve">Scheduling restrictions during RRM, RLM and beam management procedures are the responsibility of RAN4 and thus need not to be discussed </w:t>
      </w:r>
      <w:r w:rsidR="0081772D">
        <w:t xml:space="preserve">further </w:t>
      </w:r>
      <w:r>
        <w:t>in RAN1.</w:t>
      </w:r>
      <w:bookmarkEnd w:id="215"/>
    </w:p>
    <w:p w14:paraId="048E0CBF" w14:textId="6CB8F3CE" w:rsidR="00E0459B" w:rsidRDefault="00DD28D6" w:rsidP="00134355">
      <w:pPr>
        <w:pStyle w:val="BodyText"/>
      </w:pPr>
      <w:r>
        <w:t xml:space="preserve"> </w:t>
      </w:r>
      <w:bookmarkStart w:id="216" w:name="_Toc46497819"/>
      <w:bookmarkStart w:id="217" w:name="_Toc46738497"/>
      <w:bookmarkStart w:id="218" w:name="_Toc46738551"/>
      <w:bookmarkStart w:id="219" w:name="_Toc46738659"/>
      <w:bookmarkStart w:id="220" w:name="_Toc46838805"/>
      <w:bookmarkStart w:id="221" w:name="_Toc46839444"/>
      <w:bookmarkStart w:id="222" w:name="_Toc46915182"/>
      <w:bookmarkStart w:id="223" w:name="_Toc47013710"/>
      <w:bookmarkStart w:id="224" w:name="_Toc47014949"/>
      <w:bookmarkStart w:id="225" w:name="_Toc47086022"/>
      <w:bookmarkStart w:id="226" w:name="_Toc47536787"/>
      <w:bookmarkStart w:id="227" w:name="_Toc47628690"/>
      <w:bookmarkStart w:id="228" w:name="_Toc47629499"/>
      <w:bookmarkStart w:id="229" w:name="_Toc47697570"/>
      <w:bookmarkStart w:id="230" w:name="_Toc47697988"/>
      <w:bookmarkStart w:id="231" w:name="_Toc47709940"/>
      <w:bookmarkStart w:id="232" w:name="_Toc47710031"/>
      <w:bookmarkStart w:id="233" w:name="_Toc46497820"/>
      <w:bookmarkStart w:id="234" w:name="_Toc46738498"/>
      <w:bookmarkStart w:id="235" w:name="_Toc46738552"/>
      <w:bookmarkStart w:id="236" w:name="_Toc46738660"/>
      <w:bookmarkStart w:id="237" w:name="_Toc46838806"/>
      <w:bookmarkStart w:id="238" w:name="_Toc46839445"/>
      <w:bookmarkStart w:id="239" w:name="_Toc46915183"/>
      <w:bookmarkStart w:id="240" w:name="_Toc47013711"/>
      <w:bookmarkStart w:id="241" w:name="_Toc47014950"/>
      <w:bookmarkStart w:id="242" w:name="_Toc47086023"/>
      <w:bookmarkStart w:id="243" w:name="_Toc47536788"/>
      <w:bookmarkStart w:id="244" w:name="_Toc47628691"/>
      <w:bookmarkStart w:id="245" w:name="_Toc47629500"/>
      <w:bookmarkStart w:id="246" w:name="_Toc47697571"/>
      <w:bookmarkStart w:id="247" w:name="_Toc47697989"/>
      <w:bookmarkStart w:id="248" w:name="_Toc47709941"/>
      <w:bookmarkStart w:id="249" w:name="_Toc47710032"/>
      <w:bookmarkStart w:id="250" w:name="_Toc46497821"/>
      <w:bookmarkStart w:id="251" w:name="_Toc46738499"/>
      <w:bookmarkStart w:id="252" w:name="_Toc46738553"/>
      <w:bookmarkStart w:id="253" w:name="_Toc46738661"/>
      <w:bookmarkStart w:id="254" w:name="_Toc46838807"/>
      <w:bookmarkStart w:id="255" w:name="_Toc46839446"/>
      <w:bookmarkStart w:id="256" w:name="_Toc46915184"/>
      <w:bookmarkStart w:id="257" w:name="_Toc47013712"/>
      <w:bookmarkStart w:id="258" w:name="_Toc47014951"/>
      <w:bookmarkStart w:id="259" w:name="_Toc47086024"/>
      <w:bookmarkStart w:id="260" w:name="_Toc47536789"/>
      <w:bookmarkStart w:id="261" w:name="_Toc47628692"/>
      <w:bookmarkStart w:id="262" w:name="_Toc47629501"/>
      <w:bookmarkStart w:id="263" w:name="_Toc47697572"/>
      <w:bookmarkStart w:id="264" w:name="_Toc47697990"/>
      <w:bookmarkStart w:id="265" w:name="_Toc47709942"/>
      <w:bookmarkStart w:id="266" w:name="_Toc47710033"/>
      <w:bookmarkStart w:id="267" w:name="_Toc46497822"/>
      <w:bookmarkStart w:id="268" w:name="_Toc46738500"/>
      <w:bookmarkStart w:id="269" w:name="_Toc46738554"/>
      <w:bookmarkStart w:id="270" w:name="_Toc46738662"/>
      <w:bookmarkStart w:id="271" w:name="_Toc46838808"/>
      <w:bookmarkStart w:id="272" w:name="_Toc46839447"/>
      <w:bookmarkStart w:id="273" w:name="_Toc46915185"/>
      <w:bookmarkStart w:id="274" w:name="_Toc47013713"/>
      <w:bookmarkStart w:id="275" w:name="_Toc47014952"/>
      <w:bookmarkStart w:id="276" w:name="_Toc47086025"/>
      <w:bookmarkStart w:id="277" w:name="_Toc47536790"/>
      <w:bookmarkStart w:id="278" w:name="_Toc47628693"/>
      <w:bookmarkStart w:id="279" w:name="_Toc47629502"/>
      <w:bookmarkStart w:id="280" w:name="_Toc47697573"/>
      <w:bookmarkStart w:id="281" w:name="_Toc47697991"/>
      <w:bookmarkStart w:id="282" w:name="_Toc47709943"/>
      <w:bookmarkStart w:id="283" w:name="_Toc47710034"/>
      <w:bookmarkStart w:id="284" w:name="_Toc46497823"/>
      <w:bookmarkStart w:id="285" w:name="_Toc46738501"/>
      <w:bookmarkStart w:id="286" w:name="_Toc46738555"/>
      <w:bookmarkStart w:id="287" w:name="_Toc46738663"/>
      <w:bookmarkStart w:id="288" w:name="_Toc46838809"/>
      <w:bookmarkStart w:id="289" w:name="_Toc46839448"/>
      <w:bookmarkStart w:id="290" w:name="_Toc46915186"/>
      <w:bookmarkStart w:id="291" w:name="_Toc47013714"/>
      <w:bookmarkStart w:id="292" w:name="_Toc47014953"/>
      <w:bookmarkStart w:id="293" w:name="_Toc47086026"/>
      <w:bookmarkStart w:id="294" w:name="_Toc47536791"/>
      <w:bookmarkStart w:id="295" w:name="_Toc47628694"/>
      <w:bookmarkStart w:id="296" w:name="_Toc47629503"/>
      <w:bookmarkStart w:id="297" w:name="_Toc47697574"/>
      <w:bookmarkStart w:id="298" w:name="_Toc47697992"/>
      <w:bookmarkStart w:id="299" w:name="_Toc47709944"/>
      <w:bookmarkStart w:id="300" w:name="_Toc47710035"/>
      <w:bookmarkStart w:id="301" w:name="_Toc46497824"/>
      <w:bookmarkStart w:id="302" w:name="_Toc46738502"/>
      <w:bookmarkStart w:id="303" w:name="_Toc46738556"/>
      <w:bookmarkStart w:id="304" w:name="_Toc46738664"/>
      <w:bookmarkStart w:id="305" w:name="_Toc46838810"/>
      <w:bookmarkStart w:id="306" w:name="_Toc46839449"/>
      <w:bookmarkStart w:id="307" w:name="_Toc46915187"/>
      <w:bookmarkStart w:id="308" w:name="_Toc47013715"/>
      <w:bookmarkStart w:id="309" w:name="_Toc47014954"/>
      <w:bookmarkStart w:id="310" w:name="_Toc47086027"/>
      <w:bookmarkStart w:id="311" w:name="_Toc47536792"/>
      <w:bookmarkStart w:id="312" w:name="_Toc47628695"/>
      <w:bookmarkStart w:id="313" w:name="_Toc47629504"/>
      <w:bookmarkStart w:id="314" w:name="_Toc47697575"/>
      <w:bookmarkStart w:id="315" w:name="_Toc47697993"/>
      <w:bookmarkStart w:id="316" w:name="_Toc47709945"/>
      <w:bookmarkStart w:id="317" w:name="_Toc47710036"/>
      <w:bookmarkStart w:id="318" w:name="_Toc46497825"/>
      <w:bookmarkStart w:id="319" w:name="_Toc46738503"/>
      <w:bookmarkStart w:id="320" w:name="_Toc46738557"/>
      <w:bookmarkStart w:id="321" w:name="_Toc46738665"/>
      <w:bookmarkStart w:id="322" w:name="_Toc46838811"/>
      <w:bookmarkStart w:id="323" w:name="_Toc46839450"/>
      <w:bookmarkStart w:id="324" w:name="_Toc46915188"/>
      <w:bookmarkStart w:id="325" w:name="_Toc47013716"/>
      <w:bookmarkStart w:id="326" w:name="_Toc47014955"/>
      <w:bookmarkStart w:id="327" w:name="_Toc47086028"/>
      <w:bookmarkStart w:id="328" w:name="_Toc47536793"/>
      <w:bookmarkStart w:id="329" w:name="_Toc47628696"/>
      <w:bookmarkStart w:id="330" w:name="_Toc47629505"/>
      <w:bookmarkStart w:id="331" w:name="_Toc47697576"/>
      <w:bookmarkStart w:id="332" w:name="_Toc47697994"/>
      <w:bookmarkStart w:id="333" w:name="_Toc47709946"/>
      <w:bookmarkStart w:id="334" w:name="_Toc47710037"/>
      <w:bookmarkStart w:id="335" w:name="_Toc46497826"/>
      <w:bookmarkStart w:id="336" w:name="_Toc46738504"/>
      <w:bookmarkStart w:id="337" w:name="_Toc46738558"/>
      <w:bookmarkStart w:id="338" w:name="_Toc46738666"/>
      <w:bookmarkStart w:id="339" w:name="_Toc46838812"/>
      <w:bookmarkStart w:id="340" w:name="_Toc46839451"/>
      <w:bookmarkStart w:id="341" w:name="_Toc46915189"/>
      <w:bookmarkStart w:id="342" w:name="_Toc47013717"/>
      <w:bookmarkStart w:id="343" w:name="_Toc47014956"/>
      <w:bookmarkStart w:id="344" w:name="_Toc47086029"/>
      <w:bookmarkStart w:id="345" w:name="_Toc47536794"/>
      <w:bookmarkStart w:id="346" w:name="_Toc47628697"/>
      <w:bookmarkStart w:id="347" w:name="_Toc47629506"/>
      <w:bookmarkStart w:id="348" w:name="_Toc47697577"/>
      <w:bookmarkStart w:id="349" w:name="_Toc47697995"/>
      <w:bookmarkStart w:id="350" w:name="_Toc47709947"/>
      <w:bookmarkStart w:id="351" w:name="_Toc47710038"/>
      <w:bookmarkStart w:id="352" w:name="_Toc46497827"/>
      <w:bookmarkStart w:id="353" w:name="_Toc46738505"/>
      <w:bookmarkStart w:id="354" w:name="_Toc46738559"/>
      <w:bookmarkStart w:id="355" w:name="_Toc46738667"/>
      <w:bookmarkStart w:id="356" w:name="_Toc46838813"/>
      <w:bookmarkStart w:id="357" w:name="_Toc46839452"/>
      <w:bookmarkStart w:id="358" w:name="_Toc46915190"/>
      <w:bookmarkStart w:id="359" w:name="_Toc47013718"/>
      <w:bookmarkStart w:id="360" w:name="_Toc47014957"/>
      <w:bookmarkStart w:id="361" w:name="_Toc47086030"/>
      <w:bookmarkStart w:id="362" w:name="_Toc47536795"/>
      <w:bookmarkStart w:id="363" w:name="_Toc47628698"/>
      <w:bookmarkStart w:id="364" w:name="_Toc47629507"/>
      <w:bookmarkStart w:id="365" w:name="_Toc47697578"/>
      <w:bookmarkStart w:id="366" w:name="_Toc47697996"/>
      <w:bookmarkStart w:id="367" w:name="_Toc47709948"/>
      <w:bookmarkStart w:id="368" w:name="_Toc47710039"/>
      <w:bookmarkStart w:id="369" w:name="_Toc46497828"/>
      <w:bookmarkStart w:id="370" w:name="_Toc46738506"/>
      <w:bookmarkStart w:id="371" w:name="_Toc46738560"/>
      <w:bookmarkStart w:id="372" w:name="_Toc46738668"/>
      <w:bookmarkStart w:id="373" w:name="_Toc46838814"/>
      <w:bookmarkStart w:id="374" w:name="_Toc46839453"/>
      <w:bookmarkStart w:id="375" w:name="_Toc46915191"/>
      <w:bookmarkStart w:id="376" w:name="_Toc47013719"/>
      <w:bookmarkStart w:id="377" w:name="_Toc47014958"/>
      <w:bookmarkStart w:id="378" w:name="_Toc47086031"/>
      <w:bookmarkStart w:id="379" w:name="_Toc47536796"/>
      <w:bookmarkStart w:id="380" w:name="_Toc47628699"/>
      <w:bookmarkStart w:id="381" w:name="_Toc47629508"/>
      <w:bookmarkStart w:id="382" w:name="_Toc47697579"/>
      <w:bookmarkStart w:id="383" w:name="_Toc47697997"/>
      <w:bookmarkStart w:id="384" w:name="_Toc47709949"/>
      <w:bookmarkStart w:id="385" w:name="_Toc47710040"/>
      <w:bookmarkStart w:id="386" w:name="_Toc46497829"/>
      <w:bookmarkStart w:id="387" w:name="_Toc46738507"/>
      <w:bookmarkStart w:id="388" w:name="_Toc46738561"/>
      <w:bookmarkStart w:id="389" w:name="_Toc46738669"/>
      <w:bookmarkStart w:id="390" w:name="_Toc46838815"/>
      <w:bookmarkStart w:id="391" w:name="_Toc46839454"/>
      <w:bookmarkStart w:id="392" w:name="_Toc46915192"/>
      <w:bookmarkStart w:id="393" w:name="_Toc47013720"/>
      <w:bookmarkStart w:id="394" w:name="_Toc47014959"/>
      <w:bookmarkStart w:id="395" w:name="_Toc47086032"/>
      <w:bookmarkStart w:id="396" w:name="_Toc47536797"/>
      <w:bookmarkStart w:id="397" w:name="_Toc47628700"/>
      <w:bookmarkStart w:id="398" w:name="_Toc47629509"/>
      <w:bookmarkStart w:id="399" w:name="_Toc47697580"/>
      <w:bookmarkStart w:id="400" w:name="_Toc47697998"/>
      <w:bookmarkStart w:id="401" w:name="_Toc47709950"/>
      <w:bookmarkStart w:id="402" w:name="_Toc47710041"/>
      <w:bookmarkStart w:id="403" w:name="_Toc46497830"/>
      <w:bookmarkStart w:id="404" w:name="_Toc46738508"/>
      <w:bookmarkStart w:id="405" w:name="_Toc46738562"/>
      <w:bookmarkStart w:id="406" w:name="_Toc46738670"/>
      <w:bookmarkStart w:id="407" w:name="_Toc46838816"/>
      <w:bookmarkStart w:id="408" w:name="_Toc46839455"/>
      <w:bookmarkStart w:id="409" w:name="_Toc46915193"/>
      <w:bookmarkStart w:id="410" w:name="_Toc47013721"/>
      <w:bookmarkStart w:id="411" w:name="_Toc47014960"/>
      <w:bookmarkStart w:id="412" w:name="_Toc47086033"/>
      <w:bookmarkStart w:id="413" w:name="_Toc47536798"/>
      <w:bookmarkStart w:id="414" w:name="_Toc47628701"/>
      <w:bookmarkStart w:id="415" w:name="_Toc47629510"/>
      <w:bookmarkStart w:id="416" w:name="_Toc47697581"/>
      <w:bookmarkStart w:id="417" w:name="_Toc47697999"/>
      <w:bookmarkStart w:id="418" w:name="_Toc47709951"/>
      <w:bookmarkStart w:id="419" w:name="_Toc47710042"/>
      <w:bookmarkStart w:id="420" w:name="_Toc46497831"/>
      <w:bookmarkStart w:id="421" w:name="_Toc46738509"/>
      <w:bookmarkStart w:id="422" w:name="_Toc46738563"/>
      <w:bookmarkStart w:id="423" w:name="_Toc46738671"/>
      <w:bookmarkStart w:id="424" w:name="_Toc46838817"/>
      <w:bookmarkStart w:id="425" w:name="_Toc46839456"/>
      <w:bookmarkStart w:id="426" w:name="_Toc46915194"/>
      <w:bookmarkStart w:id="427" w:name="_Toc47013722"/>
      <w:bookmarkStart w:id="428" w:name="_Toc47014961"/>
      <w:bookmarkStart w:id="429" w:name="_Toc47086034"/>
      <w:bookmarkStart w:id="430" w:name="_Toc47536799"/>
      <w:bookmarkStart w:id="431" w:name="_Toc47628702"/>
      <w:bookmarkStart w:id="432" w:name="_Toc47629511"/>
      <w:bookmarkStart w:id="433" w:name="_Toc47697582"/>
      <w:bookmarkStart w:id="434" w:name="_Toc47698000"/>
      <w:bookmarkStart w:id="435" w:name="_Toc47709952"/>
      <w:bookmarkStart w:id="436" w:name="_Toc47710043"/>
      <w:bookmarkStart w:id="437" w:name="_Toc46497832"/>
      <w:bookmarkStart w:id="438" w:name="_Toc46738510"/>
      <w:bookmarkStart w:id="439" w:name="_Toc46738564"/>
      <w:bookmarkStart w:id="440" w:name="_Toc46738672"/>
      <w:bookmarkStart w:id="441" w:name="_Toc46838818"/>
      <w:bookmarkStart w:id="442" w:name="_Toc46839457"/>
      <w:bookmarkStart w:id="443" w:name="_Toc46915195"/>
      <w:bookmarkStart w:id="444" w:name="_Toc47013723"/>
      <w:bookmarkStart w:id="445" w:name="_Toc47014962"/>
      <w:bookmarkStart w:id="446" w:name="_Toc47086035"/>
      <w:bookmarkStart w:id="447" w:name="_Toc47536800"/>
      <w:bookmarkStart w:id="448" w:name="_Toc47628703"/>
      <w:bookmarkStart w:id="449" w:name="_Toc47629512"/>
      <w:bookmarkStart w:id="450" w:name="_Toc47697583"/>
      <w:bookmarkStart w:id="451" w:name="_Toc47698001"/>
      <w:bookmarkStart w:id="452" w:name="_Toc47709953"/>
      <w:bookmarkStart w:id="453" w:name="_Toc47710044"/>
      <w:bookmarkStart w:id="454" w:name="_Toc46497833"/>
      <w:bookmarkStart w:id="455" w:name="_Toc46738511"/>
      <w:bookmarkStart w:id="456" w:name="_Toc46738565"/>
      <w:bookmarkStart w:id="457" w:name="_Toc46738673"/>
      <w:bookmarkStart w:id="458" w:name="_Toc46838819"/>
      <w:bookmarkStart w:id="459" w:name="_Toc46839458"/>
      <w:bookmarkStart w:id="460" w:name="_Toc46915196"/>
      <w:bookmarkStart w:id="461" w:name="_Toc47013724"/>
      <w:bookmarkStart w:id="462" w:name="_Toc47014963"/>
      <w:bookmarkStart w:id="463" w:name="_Toc47086036"/>
      <w:bookmarkStart w:id="464" w:name="_Toc47536801"/>
      <w:bookmarkStart w:id="465" w:name="_Toc47628704"/>
      <w:bookmarkStart w:id="466" w:name="_Toc47629513"/>
      <w:bookmarkStart w:id="467" w:name="_Toc47697584"/>
      <w:bookmarkStart w:id="468" w:name="_Toc47698002"/>
      <w:bookmarkStart w:id="469" w:name="_Toc47709954"/>
      <w:bookmarkStart w:id="470" w:name="_Toc47710045"/>
      <w:bookmarkStart w:id="471" w:name="_Toc46497834"/>
      <w:bookmarkStart w:id="472" w:name="_Toc46738512"/>
      <w:bookmarkStart w:id="473" w:name="_Toc46738566"/>
      <w:bookmarkStart w:id="474" w:name="_Toc46738674"/>
      <w:bookmarkStart w:id="475" w:name="_Toc46838820"/>
      <w:bookmarkStart w:id="476" w:name="_Toc46839459"/>
      <w:bookmarkStart w:id="477" w:name="_Toc46915197"/>
      <w:bookmarkStart w:id="478" w:name="_Toc47013725"/>
      <w:bookmarkStart w:id="479" w:name="_Toc47014964"/>
      <w:bookmarkStart w:id="480" w:name="_Toc47086037"/>
      <w:bookmarkStart w:id="481" w:name="_Toc47536802"/>
      <w:bookmarkStart w:id="482" w:name="_Toc47628705"/>
      <w:bookmarkStart w:id="483" w:name="_Toc47629514"/>
      <w:bookmarkStart w:id="484" w:name="_Toc47697585"/>
      <w:bookmarkStart w:id="485" w:name="_Toc47698003"/>
      <w:bookmarkStart w:id="486" w:name="_Toc47709955"/>
      <w:bookmarkStart w:id="487" w:name="_Toc47710046"/>
      <w:bookmarkStart w:id="488" w:name="_Toc46497835"/>
      <w:bookmarkStart w:id="489" w:name="_Toc46738513"/>
      <w:bookmarkStart w:id="490" w:name="_Toc46738567"/>
      <w:bookmarkStart w:id="491" w:name="_Toc46738675"/>
      <w:bookmarkStart w:id="492" w:name="_Toc46838821"/>
      <w:bookmarkStart w:id="493" w:name="_Toc46839460"/>
      <w:bookmarkStart w:id="494" w:name="_Toc46915198"/>
      <w:bookmarkStart w:id="495" w:name="_Toc47013726"/>
      <w:bookmarkStart w:id="496" w:name="_Toc47014965"/>
      <w:bookmarkStart w:id="497" w:name="_Toc47086038"/>
      <w:bookmarkStart w:id="498" w:name="_Toc47536803"/>
      <w:bookmarkStart w:id="499" w:name="_Toc47628706"/>
      <w:bookmarkStart w:id="500" w:name="_Toc47629515"/>
      <w:bookmarkStart w:id="501" w:name="_Toc47697586"/>
      <w:bookmarkStart w:id="502" w:name="_Toc47698004"/>
      <w:bookmarkStart w:id="503" w:name="_Toc47709956"/>
      <w:bookmarkStart w:id="504" w:name="_Toc47710047"/>
      <w:bookmarkStart w:id="505" w:name="_Toc46497836"/>
      <w:bookmarkStart w:id="506" w:name="_Toc46738514"/>
      <w:bookmarkStart w:id="507" w:name="_Toc46738568"/>
      <w:bookmarkStart w:id="508" w:name="_Toc46738676"/>
      <w:bookmarkStart w:id="509" w:name="_Toc46838822"/>
      <w:bookmarkStart w:id="510" w:name="_Toc46839461"/>
      <w:bookmarkStart w:id="511" w:name="_Toc46915199"/>
      <w:bookmarkStart w:id="512" w:name="_Toc47013727"/>
      <w:bookmarkStart w:id="513" w:name="_Toc47014966"/>
      <w:bookmarkStart w:id="514" w:name="_Toc47086039"/>
      <w:bookmarkStart w:id="515" w:name="_Toc47536804"/>
      <w:bookmarkStart w:id="516" w:name="_Toc47628707"/>
      <w:bookmarkStart w:id="517" w:name="_Toc47629516"/>
      <w:bookmarkStart w:id="518" w:name="_Toc47697587"/>
      <w:bookmarkStart w:id="519" w:name="_Toc47698005"/>
      <w:bookmarkStart w:id="520" w:name="_Toc47709957"/>
      <w:bookmarkStart w:id="521" w:name="_Toc47710048"/>
      <w:bookmarkStart w:id="522" w:name="_Toc46497837"/>
      <w:bookmarkStart w:id="523" w:name="_Toc46738515"/>
      <w:bookmarkStart w:id="524" w:name="_Toc46738569"/>
      <w:bookmarkStart w:id="525" w:name="_Toc46738677"/>
      <w:bookmarkStart w:id="526" w:name="_Toc46838823"/>
      <w:bookmarkStart w:id="527" w:name="_Toc46839462"/>
      <w:bookmarkStart w:id="528" w:name="_Toc46915200"/>
      <w:bookmarkStart w:id="529" w:name="_Toc47013728"/>
      <w:bookmarkStart w:id="530" w:name="_Toc47014967"/>
      <w:bookmarkStart w:id="531" w:name="_Toc47086040"/>
      <w:bookmarkStart w:id="532" w:name="_Toc47536805"/>
      <w:bookmarkStart w:id="533" w:name="_Toc47628708"/>
      <w:bookmarkStart w:id="534" w:name="_Toc47629517"/>
      <w:bookmarkStart w:id="535" w:name="_Toc47697588"/>
      <w:bookmarkStart w:id="536" w:name="_Toc47698006"/>
      <w:bookmarkStart w:id="537" w:name="_Toc47709958"/>
      <w:bookmarkStart w:id="538" w:name="_Toc47710049"/>
      <w:bookmarkStart w:id="539" w:name="_Toc46497838"/>
      <w:bookmarkStart w:id="540" w:name="_Toc46738516"/>
      <w:bookmarkStart w:id="541" w:name="_Toc46738570"/>
      <w:bookmarkStart w:id="542" w:name="_Toc46738678"/>
      <w:bookmarkStart w:id="543" w:name="_Toc46838824"/>
      <w:bookmarkStart w:id="544" w:name="_Toc46839463"/>
      <w:bookmarkStart w:id="545" w:name="_Toc46915201"/>
      <w:bookmarkStart w:id="546" w:name="_Toc47013729"/>
      <w:bookmarkStart w:id="547" w:name="_Toc47014968"/>
      <w:bookmarkStart w:id="548" w:name="_Toc47086041"/>
      <w:bookmarkStart w:id="549" w:name="_Toc47536806"/>
      <w:bookmarkStart w:id="550" w:name="_Toc47628709"/>
      <w:bookmarkStart w:id="551" w:name="_Toc47629518"/>
      <w:bookmarkStart w:id="552" w:name="_Toc47697589"/>
      <w:bookmarkStart w:id="553" w:name="_Toc47698007"/>
      <w:bookmarkStart w:id="554" w:name="_Toc47709959"/>
      <w:bookmarkStart w:id="555" w:name="_Toc47710050"/>
      <w:bookmarkStart w:id="556" w:name="_Toc46497839"/>
      <w:bookmarkStart w:id="557" w:name="_Toc46738517"/>
      <w:bookmarkStart w:id="558" w:name="_Toc46738571"/>
      <w:bookmarkStart w:id="559" w:name="_Toc46738679"/>
      <w:bookmarkStart w:id="560" w:name="_Toc46838825"/>
      <w:bookmarkStart w:id="561" w:name="_Toc46839464"/>
      <w:bookmarkStart w:id="562" w:name="_Toc46915202"/>
      <w:bookmarkStart w:id="563" w:name="_Toc47013730"/>
      <w:bookmarkStart w:id="564" w:name="_Toc47014969"/>
      <w:bookmarkStart w:id="565" w:name="_Toc47086042"/>
      <w:bookmarkStart w:id="566" w:name="_Toc47536807"/>
      <w:bookmarkStart w:id="567" w:name="_Toc47628710"/>
      <w:bookmarkStart w:id="568" w:name="_Toc47629519"/>
      <w:bookmarkStart w:id="569" w:name="_Toc47697590"/>
      <w:bookmarkStart w:id="570" w:name="_Toc47698008"/>
      <w:bookmarkStart w:id="571" w:name="_Toc47709960"/>
      <w:bookmarkStart w:id="572" w:name="_Toc47710051"/>
      <w:bookmarkStart w:id="573" w:name="_Toc46497840"/>
      <w:bookmarkStart w:id="574" w:name="_Toc46738518"/>
      <w:bookmarkStart w:id="575" w:name="_Toc46738572"/>
      <w:bookmarkStart w:id="576" w:name="_Toc46738680"/>
      <w:bookmarkStart w:id="577" w:name="_Toc46838826"/>
      <w:bookmarkStart w:id="578" w:name="_Toc46839465"/>
      <w:bookmarkStart w:id="579" w:name="_Toc46915203"/>
      <w:bookmarkStart w:id="580" w:name="_Toc47013731"/>
      <w:bookmarkStart w:id="581" w:name="_Toc47014970"/>
      <w:bookmarkStart w:id="582" w:name="_Toc47086043"/>
      <w:bookmarkStart w:id="583" w:name="_Toc47536808"/>
      <w:bookmarkStart w:id="584" w:name="_Toc47628711"/>
      <w:bookmarkStart w:id="585" w:name="_Toc47629520"/>
      <w:bookmarkStart w:id="586" w:name="_Toc47697591"/>
      <w:bookmarkStart w:id="587" w:name="_Toc47698009"/>
      <w:bookmarkStart w:id="588" w:name="_Toc47709961"/>
      <w:bookmarkStart w:id="589" w:name="_Toc47710052"/>
      <w:bookmarkStart w:id="590" w:name="_Toc46497841"/>
      <w:bookmarkStart w:id="591" w:name="_Toc46738519"/>
      <w:bookmarkStart w:id="592" w:name="_Toc46738573"/>
      <w:bookmarkStart w:id="593" w:name="_Toc46738681"/>
      <w:bookmarkStart w:id="594" w:name="_Toc46838827"/>
      <w:bookmarkStart w:id="595" w:name="_Toc46839466"/>
      <w:bookmarkStart w:id="596" w:name="_Toc46915204"/>
      <w:bookmarkStart w:id="597" w:name="_Toc47013732"/>
      <w:bookmarkStart w:id="598" w:name="_Toc47014971"/>
      <w:bookmarkStart w:id="599" w:name="_Toc47086044"/>
      <w:bookmarkStart w:id="600" w:name="_Toc47536809"/>
      <w:bookmarkStart w:id="601" w:name="_Toc47628712"/>
      <w:bookmarkStart w:id="602" w:name="_Toc47629521"/>
      <w:bookmarkStart w:id="603" w:name="_Toc47697592"/>
      <w:bookmarkStart w:id="604" w:name="_Toc47698010"/>
      <w:bookmarkStart w:id="605" w:name="_Toc47709962"/>
      <w:bookmarkStart w:id="606" w:name="_Toc47710053"/>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6D9FEEB0" w14:textId="63A40658" w:rsidR="00760AF2" w:rsidRPr="00AC0775" w:rsidRDefault="00760AF2" w:rsidP="00760AF2">
      <w:pPr>
        <w:pStyle w:val="BodyText"/>
        <w:rPr>
          <w:rFonts w:cs="Arial"/>
          <w:b/>
          <w:u w:val="single"/>
        </w:rPr>
      </w:pPr>
      <w:r w:rsidRPr="00760AF2">
        <w:rPr>
          <w:rFonts w:cs="Arial"/>
          <w:b/>
          <w:bCs/>
          <w:u w:val="single"/>
        </w:rPr>
        <w:t>SSB Link Budget</w:t>
      </w:r>
    </w:p>
    <w:p w14:paraId="272C644D" w14:textId="3E638E84" w:rsidR="00591E2A" w:rsidRPr="003C2819" w:rsidRDefault="00003821" w:rsidP="00E2446B">
      <w:pPr>
        <w:pStyle w:val="BodyText"/>
        <w:rPr>
          <w:rFonts w:cs="Arial"/>
        </w:rPr>
      </w:pPr>
      <w:r w:rsidRPr="004C4F73">
        <w:t xml:space="preserve">Here we address the FFS </w:t>
      </w:r>
      <w:r w:rsidRPr="009F6C86">
        <w:t>item in the 2</w:t>
      </w:r>
      <w:r w:rsidRPr="004C4F73">
        <w:t>nd agreement listed at the beginning of this section</w:t>
      </w:r>
      <w:r w:rsidRPr="009F6C86">
        <w:t xml:space="preserve"> regarding SSB coverage. </w:t>
      </w:r>
      <w:r w:rsidR="00760AF2" w:rsidRPr="009F6C86">
        <w:t xml:space="preserve">SSB link budgets for different subcarrier spacings are shown in </w:t>
      </w:r>
      <w:r w:rsidR="00AC0775" w:rsidRPr="009F6C86">
        <w:fldChar w:fldCharType="begin"/>
      </w:r>
      <w:r w:rsidR="00AC0775" w:rsidRPr="00047F56">
        <w:instrText xml:space="preserve"> REF _Ref53422620 \h </w:instrText>
      </w:r>
      <w:r w:rsidR="00A30132">
        <w:instrText xml:space="preserve"> \* MERGEFORMAT </w:instrText>
      </w:r>
      <w:r w:rsidR="00AC0775" w:rsidRPr="009F6C86">
        <w:fldChar w:fldCharType="separate"/>
      </w:r>
      <w:r w:rsidR="00BE31F7" w:rsidRPr="00BE31F7">
        <w:t>Figure 39</w:t>
      </w:r>
      <w:r w:rsidR="00AC0775" w:rsidRPr="009F6C86">
        <w:fldChar w:fldCharType="end"/>
      </w:r>
      <w:r w:rsidR="00AC0775" w:rsidRPr="009F6C86">
        <w:t xml:space="preserve">. The link budgets </w:t>
      </w:r>
      <w:r w:rsidRPr="00DC2727">
        <w:t xml:space="preserve">are computed assuming </w:t>
      </w:r>
      <w:r w:rsidRPr="004666C6">
        <w:t xml:space="preserve">a PBCH detection requirement of </w:t>
      </w:r>
      <w:r w:rsidR="00041858" w:rsidRPr="00047F56">
        <w:t xml:space="preserve">10% block error rate (BLER), where successful </w:t>
      </w:r>
      <w:r w:rsidRPr="00047F56">
        <w:t xml:space="preserve">detection is conditioned on </w:t>
      </w:r>
      <w:r w:rsidR="00041858" w:rsidRPr="00047F56">
        <w:t xml:space="preserve">successful detection of </w:t>
      </w:r>
      <w:r w:rsidR="00AC0775" w:rsidRPr="00047F56">
        <w:t>PSS</w:t>
      </w:r>
      <w:r w:rsidR="00041858" w:rsidRPr="00047F56">
        <w:t xml:space="preserve"> and</w:t>
      </w:r>
      <w:r w:rsidR="00AC0775" w:rsidRPr="00047F56">
        <w:t xml:space="preserve"> SSS</w:t>
      </w:r>
      <w:r w:rsidR="00041858" w:rsidRPr="00047F56">
        <w:t>. The use</w:t>
      </w:r>
      <w:r w:rsidR="00362B3D" w:rsidRPr="00047F56">
        <w:t>d</w:t>
      </w:r>
      <w:r w:rsidR="00041858" w:rsidRPr="00047F56">
        <w:t xml:space="preserve"> channel model is a </w:t>
      </w:r>
      <w:r w:rsidR="00AC0775" w:rsidRPr="00047F56">
        <w:t>TDL-A 3km/h channel. The corresponding link simulation</w:t>
      </w:r>
      <w:r w:rsidR="00724789" w:rsidRPr="00047F56">
        <w:t xml:space="preserve"> configuration</w:t>
      </w:r>
      <w:r w:rsidR="00AC0775" w:rsidRPr="00047F56">
        <w:t xml:space="preserve"> </w:t>
      </w:r>
      <w:r w:rsidR="00724789" w:rsidRPr="00047F56">
        <w:t xml:space="preserve">and </w:t>
      </w:r>
      <w:r w:rsidR="00AC0775" w:rsidRPr="00047F56">
        <w:t xml:space="preserve">results are available in </w:t>
      </w:r>
      <w:r w:rsidR="00AC0775" w:rsidRPr="00047F56">
        <w:fldChar w:fldCharType="begin"/>
      </w:r>
      <w:r w:rsidR="00AC0775" w:rsidRPr="00047F56">
        <w:instrText xml:space="preserve"> REF _Ref53396159 \r \h </w:instrText>
      </w:r>
      <w:r w:rsidR="00A30132">
        <w:instrText xml:space="preserve"> \* MERGEFORMAT </w:instrText>
      </w:r>
      <w:r w:rsidR="00AC0775" w:rsidRPr="00047F56">
        <w:fldChar w:fldCharType="separate"/>
      </w:r>
      <w:r w:rsidR="00BE31F7">
        <w:t>[7]</w:t>
      </w:r>
      <w:r w:rsidR="00AC0775" w:rsidRPr="00047F56">
        <w:fldChar w:fldCharType="end"/>
      </w:r>
      <w:r w:rsidR="00724789" w:rsidRPr="00047F56">
        <w:t xml:space="preserve">, where also an example of how the link budgets </w:t>
      </w:r>
      <w:r>
        <w:rPr>
          <w:rFonts w:cs="Arial"/>
        </w:rPr>
        <w:t xml:space="preserve">are </w:t>
      </w:r>
      <w:r w:rsidR="00724789">
        <w:rPr>
          <w:rFonts w:cs="Arial"/>
        </w:rPr>
        <w:t>derived can be found.</w:t>
      </w:r>
      <w:r w:rsidR="00444D08">
        <w:rPr>
          <w:rFonts w:cs="Arial"/>
        </w:rPr>
        <w:t xml:space="preserve"> </w:t>
      </w:r>
      <w:r w:rsidR="00DC2727">
        <w:rPr>
          <w:rFonts w:cs="Arial"/>
        </w:rPr>
        <w:t>Antenna configuration 2</w:t>
      </w:r>
      <w:r w:rsidR="0019115F">
        <w:rPr>
          <w:rFonts w:cs="Arial"/>
        </w:rPr>
        <w:t xml:space="preserve"> from the link level assumptions in TR 38.808</w:t>
      </w:r>
      <w:r w:rsidR="00DC2727">
        <w:rPr>
          <w:rFonts w:cs="Arial"/>
        </w:rPr>
        <w:t xml:space="preserve"> </w:t>
      </w:r>
      <w:r w:rsidR="00DA1E7B">
        <w:rPr>
          <w:rFonts w:cs="Arial"/>
        </w:rPr>
        <w:fldChar w:fldCharType="begin"/>
      </w:r>
      <w:r w:rsidR="00DA1E7B">
        <w:rPr>
          <w:rFonts w:cs="Arial"/>
        </w:rPr>
        <w:instrText xml:space="preserve"> REF _Ref53500598 \r \h </w:instrText>
      </w:r>
      <w:r w:rsidR="00DA1E7B">
        <w:rPr>
          <w:rFonts w:cs="Arial"/>
        </w:rPr>
      </w:r>
      <w:r w:rsidR="00DA1E7B">
        <w:rPr>
          <w:rFonts w:cs="Arial"/>
        </w:rPr>
        <w:fldChar w:fldCharType="separate"/>
      </w:r>
      <w:r w:rsidR="00BE31F7">
        <w:rPr>
          <w:rFonts w:cs="Arial"/>
        </w:rPr>
        <w:t>[8]</w:t>
      </w:r>
      <w:r w:rsidR="00DA1E7B">
        <w:rPr>
          <w:rFonts w:cs="Arial"/>
        </w:rPr>
        <w:fldChar w:fldCharType="end"/>
      </w:r>
      <w:r w:rsidR="00DC2727">
        <w:rPr>
          <w:rFonts w:cs="Arial"/>
        </w:rPr>
        <w:t xml:space="preserve"> is assumed for the BS and the UE. </w:t>
      </w:r>
      <w:r w:rsidR="00DC2727">
        <w:rPr>
          <w:rFonts w:cs="Arial"/>
          <w:lang w:val="en-GB"/>
        </w:rPr>
        <w:t>The</w:t>
      </w:r>
      <w:r w:rsidR="00444D08">
        <w:rPr>
          <w:rFonts w:cs="Arial"/>
          <w:lang w:val="en-GB"/>
        </w:rPr>
        <w:t xml:space="preserve"> </w:t>
      </w:r>
      <w:r w:rsidR="00444D08" w:rsidRPr="00D13F46">
        <w:rPr>
          <w:rFonts w:cs="Arial"/>
          <w:lang w:val="en-GB"/>
        </w:rPr>
        <w:t xml:space="preserve">antenna gain (element gain + beamforming gain) </w:t>
      </w:r>
      <w:r w:rsidR="00DC2727">
        <w:rPr>
          <w:rFonts w:cs="Arial"/>
          <w:lang w:val="en-GB"/>
        </w:rPr>
        <w:t>is assumed to be</w:t>
      </w:r>
      <w:r w:rsidR="00444D08" w:rsidRPr="00D13F46">
        <w:rPr>
          <w:rFonts w:cs="Arial"/>
          <w:lang w:val="en-GB"/>
        </w:rPr>
        <w:t xml:space="preserve"> </w:t>
      </w:r>
      <w:r w:rsidR="009F6C86">
        <w:rPr>
          <w:rFonts w:cs="Arial"/>
          <w:lang w:val="en-GB"/>
        </w:rPr>
        <w:t>20</w:t>
      </w:r>
      <w:r w:rsidR="00444D08">
        <w:rPr>
          <w:rFonts w:cs="Arial"/>
          <w:lang w:val="en-GB"/>
        </w:rPr>
        <w:t> </w:t>
      </w:r>
      <w:r w:rsidR="00444D08" w:rsidRPr="00D13F46">
        <w:rPr>
          <w:rFonts w:cs="Arial"/>
          <w:lang w:val="en-GB"/>
        </w:rPr>
        <w:t xml:space="preserve">dB </w:t>
      </w:r>
      <w:r w:rsidR="004749A7">
        <w:rPr>
          <w:rFonts w:cs="Arial"/>
          <w:lang w:val="en-GB"/>
        </w:rPr>
        <w:t xml:space="preserve">(10*log10(4x8) + 5 (element gain)) </w:t>
      </w:r>
      <w:r w:rsidR="00444D08" w:rsidRPr="00D13F46">
        <w:rPr>
          <w:rFonts w:cs="Arial"/>
          <w:lang w:val="en-GB"/>
        </w:rPr>
        <w:t xml:space="preserve">on </w:t>
      </w:r>
      <w:r w:rsidR="00444D08">
        <w:rPr>
          <w:rFonts w:cs="Arial"/>
          <w:lang w:val="en-GB"/>
        </w:rPr>
        <w:t xml:space="preserve">the </w:t>
      </w:r>
      <w:r w:rsidR="00444D08" w:rsidRPr="00D13F46">
        <w:rPr>
          <w:rFonts w:cs="Arial"/>
          <w:lang w:val="en-GB"/>
        </w:rPr>
        <w:t>transmitter side</w:t>
      </w:r>
      <w:r w:rsidR="002571B1">
        <w:rPr>
          <w:rFonts w:cs="Arial"/>
          <w:lang w:val="en-GB"/>
        </w:rPr>
        <w:t xml:space="preserve">. The antenna gain is assumed to be </w:t>
      </w:r>
      <w:r w:rsidR="00DC2727">
        <w:rPr>
          <w:rFonts w:cs="Arial"/>
          <w:lang w:val="en-GB"/>
        </w:rPr>
        <w:t>6 dB on the UE side</w:t>
      </w:r>
      <w:r w:rsidR="002571B1">
        <w:rPr>
          <w:rFonts w:cs="Arial"/>
          <w:lang w:val="en-GB"/>
        </w:rPr>
        <w:t xml:space="preserve"> (10*log10(2x2) + 5 ≈ 11, </w:t>
      </w:r>
      <w:r w:rsidR="00CB18AC">
        <w:rPr>
          <w:rFonts w:cs="Arial"/>
          <w:lang w:val="en-GB"/>
        </w:rPr>
        <w:t xml:space="preserve">but </w:t>
      </w:r>
      <w:r w:rsidR="002571B1">
        <w:rPr>
          <w:rFonts w:cs="Arial"/>
          <w:lang w:val="en-GB"/>
        </w:rPr>
        <w:t>reduced to 6)</w:t>
      </w:r>
      <w:r w:rsidR="00DC2727">
        <w:rPr>
          <w:rFonts w:cs="Arial"/>
          <w:lang w:val="en-GB"/>
        </w:rPr>
        <w:t>,</w:t>
      </w:r>
      <w:r>
        <w:rPr>
          <w:rFonts w:cs="Arial"/>
          <w:lang w:val="en-GB"/>
        </w:rPr>
        <w:t xml:space="preserve"> corresponding to a broad beam used for SSB reception during initial access.</w:t>
      </w:r>
    </w:p>
    <w:p w14:paraId="72FF119B" w14:textId="77777777" w:rsidR="00591E2A" w:rsidRDefault="00591E2A" w:rsidP="00591E2A">
      <w:pPr>
        <w:rPr>
          <w:rFonts w:ascii="Calibri" w:eastAsia="Malgun Gothic" w:hAnsi="Calibri"/>
          <w:lang w:eastAsia="zh-CN"/>
        </w:rPr>
      </w:pPr>
      <w:r w:rsidRPr="00DF0066">
        <w:rPr>
          <w:rFonts w:ascii="Calibri" w:eastAsia="Malgun Gothic" w:hAnsi="Calibri"/>
          <w:noProof/>
          <w:lang w:eastAsia="zh-CN"/>
        </w:rPr>
        <w:drawing>
          <wp:inline distT="0" distB="0" distL="0" distR="0" wp14:anchorId="1D6F841A" wp14:editId="3CF2EF77">
            <wp:extent cx="2972595" cy="1982849"/>
            <wp:effectExtent l="0" t="0" r="0" b="0"/>
            <wp:docPr id="1646987622" name="Picture 1646987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tretch>
                      <a:fillRect/>
                    </a:stretch>
                  </pic:blipFill>
                  <pic:spPr bwMode="auto">
                    <a:xfrm>
                      <a:off x="0" y="0"/>
                      <a:ext cx="2972595" cy="1982849"/>
                    </a:xfrm>
                    <a:prstGeom prst="rect">
                      <a:avLst/>
                    </a:prstGeom>
                    <a:noFill/>
                    <a:ln>
                      <a:noFill/>
                    </a:ln>
                  </pic:spPr>
                </pic:pic>
              </a:graphicData>
            </a:graphic>
          </wp:inline>
        </w:drawing>
      </w:r>
      <w:r w:rsidRPr="00DF0066">
        <w:rPr>
          <w:rFonts w:ascii="Calibri" w:eastAsia="Malgun Gothic" w:hAnsi="Calibri"/>
          <w:lang w:eastAsia="zh-CN"/>
        </w:rPr>
        <w:t xml:space="preserve"> </w:t>
      </w:r>
      <w:r w:rsidRPr="00DF0066">
        <w:rPr>
          <w:rFonts w:ascii="Calibri" w:eastAsia="Malgun Gothic" w:hAnsi="Calibri"/>
          <w:noProof/>
          <w:lang w:eastAsia="zh-CN"/>
        </w:rPr>
        <w:drawing>
          <wp:inline distT="0" distB="0" distL="0" distR="0" wp14:anchorId="56E087D7" wp14:editId="68145E01">
            <wp:extent cx="2988279" cy="1993311"/>
            <wp:effectExtent l="0" t="0" r="3175" b="6985"/>
            <wp:docPr id="1646987624" name="Picture 1646987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extLst>
                        <a:ext uri="{28A0092B-C50C-407E-A947-70E740481C1C}">
                          <a14:useLocalDpi xmlns:a14="http://schemas.microsoft.com/office/drawing/2010/main" val="0"/>
                        </a:ext>
                      </a:extLst>
                    </a:blip>
                    <a:stretch>
                      <a:fillRect/>
                    </a:stretch>
                  </pic:blipFill>
                  <pic:spPr bwMode="auto">
                    <a:xfrm>
                      <a:off x="0" y="0"/>
                      <a:ext cx="2988279" cy="1993311"/>
                    </a:xfrm>
                    <a:prstGeom prst="rect">
                      <a:avLst/>
                    </a:prstGeom>
                    <a:noFill/>
                    <a:ln>
                      <a:noFill/>
                    </a:ln>
                  </pic:spPr>
                </pic:pic>
              </a:graphicData>
            </a:graphic>
          </wp:inline>
        </w:drawing>
      </w:r>
    </w:p>
    <w:p w14:paraId="3E5351A2" w14:textId="3BE5A401" w:rsidR="00591E2A" w:rsidRDefault="00591E2A" w:rsidP="00CC57C9">
      <w:pPr>
        <w:pStyle w:val="Caption"/>
        <w:jc w:val="center"/>
        <w:rPr>
          <w:rFonts w:asciiTheme="minorBidi" w:hAnsiTheme="minorBidi" w:cstheme="minorBidi"/>
          <w:sz w:val="18"/>
          <w:szCs w:val="18"/>
        </w:rPr>
      </w:pPr>
      <w:bookmarkStart w:id="607" w:name="_Ref53422620"/>
      <w:bookmarkStart w:id="608" w:name="_Ref53581769"/>
      <w:r w:rsidRPr="003E77D3">
        <w:rPr>
          <w:rFonts w:asciiTheme="minorBidi" w:hAnsiTheme="minorBidi" w:cstheme="minorBidi"/>
          <w:sz w:val="18"/>
          <w:szCs w:val="18"/>
        </w:rPr>
        <w:t xml:space="preserve">Figure </w:t>
      </w:r>
      <w:r w:rsidRPr="003E77D3">
        <w:rPr>
          <w:rFonts w:asciiTheme="minorBidi" w:hAnsiTheme="minorBidi" w:cstheme="minorBidi"/>
          <w:sz w:val="18"/>
          <w:szCs w:val="18"/>
        </w:rPr>
        <w:fldChar w:fldCharType="begin"/>
      </w:r>
      <w:r w:rsidRPr="003E77D3">
        <w:rPr>
          <w:rFonts w:asciiTheme="minorBidi" w:hAnsiTheme="minorBidi" w:cstheme="minorBidi"/>
          <w:sz w:val="18"/>
          <w:szCs w:val="18"/>
        </w:rPr>
        <w:instrText xml:space="preserve"> SEQ Figure \* ARABIC </w:instrText>
      </w:r>
      <w:r w:rsidRPr="003E77D3">
        <w:rPr>
          <w:rFonts w:asciiTheme="minorBidi" w:hAnsiTheme="minorBidi" w:cstheme="minorBidi"/>
          <w:sz w:val="18"/>
          <w:szCs w:val="18"/>
        </w:rPr>
        <w:fldChar w:fldCharType="separate"/>
      </w:r>
      <w:r w:rsidR="00BE31F7">
        <w:rPr>
          <w:rFonts w:asciiTheme="minorBidi" w:hAnsiTheme="minorBidi" w:cstheme="minorBidi"/>
          <w:noProof/>
          <w:sz w:val="18"/>
          <w:szCs w:val="18"/>
        </w:rPr>
        <w:t>39</w:t>
      </w:r>
      <w:r w:rsidRPr="003E77D3">
        <w:rPr>
          <w:rFonts w:asciiTheme="minorBidi" w:hAnsiTheme="minorBidi" w:cstheme="minorBidi"/>
          <w:sz w:val="18"/>
          <w:szCs w:val="18"/>
        </w:rPr>
        <w:fldChar w:fldCharType="end"/>
      </w:r>
      <w:bookmarkEnd w:id="607"/>
      <w:r w:rsidRPr="003E77D3">
        <w:rPr>
          <w:rFonts w:asciiTheme="minorBidi" w:hAnsiTheme="minorBidi" w:cstheme="minorBidi"/>
          <w:sz w:val="18"/>
          <w:szCs w:val="18"/>
        </w:rPr>
        <w:t xml:space="preserve">: </w:t>
      </w:r>
      <w:r w:rsidR="00CC57C9">
        <w:rPr>
          <w:rFonts w:asciiTheme="minorBidi" w:hAnsiTheme="minorBidi" w:cstheme="minorBidi"/>
          <w:sz w:val="18"/>
          <w:szCs w:val="18"/>
        </w:rPr>
        <w:t>SSB</w:t>
      </w:r>
      <w:r w:rsidR="00760AF2">
        <w:rPr>
          <w:rFonts w:asciiTheme="minorBidi" w:hAnsiTheme="minorBidi" w:cstheme="minorBidi"/>
          <w:sz w:val="18"/>
          <w:szCs w:val="18"/>
        </w:rPr>
        <w:t xml:space="preserve"> (PSS+SSS+PBCH)</w:t>
      </w:r>
      <w:r w:rsidR="00CC57C9">
        <w:rPr>
          <w:rFonts w:asciiTheme="minorBidi" w:hAnsiTheme="minorBidi" w:cstheme="minorBidi"/>
          <w:sz w:val="18"/>
          <w:szCs w:val="18"/>
        </w:rPr>
        <w:t xml:space="preserve"> m</w:t>
      </w:r>
      <w:r>
        <w:rPr>
          <w:rFonts w:asciiTheme="minorBidi" w:hAnsiTheme="minorBidi" w:cstheme="minorBidi"/>
          <w:sz w:val="18"/>
          <w:szCs w:val="18"/>
        </w:rPr>
        <w:t>aximum isotropic loss</w:t>
      </w:r>
      <w:r w:rsidR="00CC57C9">
        <w:rPr>
          <w:rFonts w:asciiTheme="minorBidi" w:hAnsiTheme="minorBidi" w:cstheme="minorBidi"/>
          <w:sz w:val="18"/>
          <w:szCs w:val="18"/>
        </w:rPr>
        <w:t xml:space="preserve"> for TDL-A 3km/h, various delay spreads and subcarrier spacings. For individual blocks (left panel) and for a combination of 4 consecutively transmitted blocks (right panel).</w:t>
      </w:r>
      <w:bookmarkEnd w:id="608"/>
      <w:r w:rsidR="007447D0">
        <w:rPr>
          <w:rFonts w:asciiTheme="minorBidi" w:hAnsiTheme="minorBidi" w:cstheme="minorBidi"/>
          <w:sz w:val="18"/>
          <w:szCs w:val="18"/>
        </w:rPr>
        <w:t xml:space="preserve"> </w:t>
      </w:r>
      <w:r w:rsidR="0089317C">
        <w:rPr>
          <w:rFonts w:asciiTheme="minorBidi" w:hAnsiTheme="minorBidi" w:cstheme="minorBidi"/>
          <w:sz w:val="18"/>
          <w:szCs w:val="18"/>
        </w:rPr>
        <w:t xml:space="preserve">No FDM </w:t>
      </w:r>
      <w:r w:rsidR="00A1197C">
        <w:rPr>
          <w:rFonts w:asciiTheme="minorBidi" w:hAnsiTheme="minorBidi" w:cstheme="minorBidi"/>
          <w:sz w:val="18"/>
          <w:szCs w:val="18"/>
        </w:rPr>
        <w:t>with</w:t>
      </w:r>
      <w:r w:rsidR="0089317C">
        <w:rPr>
          <w:rFonts w:asciiTheme="minorBidi" w:hAnsiTheme="minorBidi" w:cstheme="minorBidi"/>
          <w:sz w:val="18"/>
          <w:szCs w:val="18"/>
        </w:rPr>
        <w:t xml:space="preserve"> RMSI (</w:t>
      </w:r>
      <w:r w:rsidR="00364E3E">
        <w:rPr>
          <w:rFonts w:asciiTheme="minorBidi" w:hAnsiTheme="minorBidi" w:cstheme="minorBidi"/>
          <w:sz w:val="18"/>
          <w:szCs w:val="18"/>
        </w:rPr>
        <w:t xml:space="preserve">SSB/CORESET0 </w:t>
      </w:r>
      <w:r w:rsidR="0089317C">
        <w:rPr>
          <w:rFonts w:asciiTheme="minorBidi" w:hAnsiTheme="minorBidi" w:cstheme="minorBidi"/>
          <w:sz w:val="18"/>
          <w:szCs w:val="18"/>
        </w:rPr>
        <w:t>multiplexing</w:t>
      </w:r>
      <w:r w:rsidR="007447D0">
        <w:rPr>
          <w:rFonts w:asciiTheme="minorBidi" w:hAnsiTheme="minorBidi" w:cstheme="minorBidi"/>
          <w:sz w:val="18"/>
          <w:szCs w:val="18"/>
        </w:rPr>
        <w:t xml:space="preserve"> </w:t>
      </w:r>
      <w:r w:rsidR="0089317C">
        <w:rPr>
          <w:rFonts w:asciiTheme="minorBidi" w:hAnsiTheme="minorBidi" w:cstheme="minorBidi"/>
          <w:sz w:val="18"/>
          <w:szCs w:val="18"/>
        </w:rPr>
        <w:t xml:space="preserve">pattern </w:t>
      </w:r>
      <w:r w:rsidR="007447D0">
        <w:rPr>
          <w:rFonts w:asciiTheme="minorBidi" w:hAnsiTheme="minorBidi" w:cstheme="minorBidi"/>
          <w:sz w:val="18"/>
          <w:szCs w:val="18"/>
        </w:rPr>
        <w:t>1 is used</w:t>
      </w:r>
      <w:r w:rsidR="00E769F5">
        <w:rPr>
          <w:rFonts w:asciiTheme="minorBidi" w:hAnsiTheme="minorBidi" w:cstheme="minorBidi"/>
          <w:sz w:val="18"/>
          <w:szCs w:val="18"/>
        </w:rPr>
        <w:t>)</w:t>
      </w:r>
      <w:r w:rsidR="007447D0">
        <w:rPr>
          <w:rFonts w:asciiTheme="minorBidi" w:hAnsiTheme="minorBidi" w:cstheme="minorBidi"/>
          <w:sz w:val="18"/>
          <w:szCs w:val="18"/>
        </w:rPr>
        <w:t>.</w:t>
      </w:r>
    </w:p>
    <w:p w14:paraId="7C6B56D9" w14:textId="0E60B656" w:rsidR="00374F86" w:rsidRDefault="00374F86" w:rsidP="00E2446B">
      <w:pPr>
        <w:pStyle w:val="BodyText"/>
        <w:rPr>
          <w:rFonts w:cs="Arial"/>
          <w:lang w:eastAsia="en-GB"/>
        </w:rPr>
      </w:pPr>
      <w:r w:rsidRPr="00134355">
        <w:t xml:space="preserve">It is clear from </w:t>
      </w:r>
      <w:r w:rsidRPr="003C2819">
        <w:rPr>
          <w:rFonts w:cs="Arial"/>
          <w:lang w:eastAsia="en-GB"/>
        </w:rPr>
        <w:fldChar w:fldCharType="begin"/>
      </w:r>
      <w:r w:rsidRPr="003C2819">
        <w:rPr>
          <w:rFonts w:cs="Arial"/>
          <w:lang w:eastAsia="en-GB"/>
        </w:rPr>
        <w:instrText xml:space="preserve"> REF _Ref53422620 \h </w:instrText>
      </w:r>
      <w:r>
        <w:rPr>
          <w:rFonts w:cs="Arial"/>
          <w:lang w:eastAsia="en-GB"/>
        </w:rPr>
        <w:instrText xml:space="preserve"> \* MERGEFORMAT </w:instrText>
      </w:r>
      <w:r w:rsidRPr="003C2819">
        <w:rPr>
          <w:rFonts w:cs="Arial"/>
          <w:lang w:eastAsia="en-GB"/>
        </w:rPr>
      </w:r>
      <w:r w:rsidRPr="003C2819">
        <w:rPr>
          <w:rFonts w:cs="Arial"/>
          <w:lang w:eastAsia="en-GB"/>
        </w:rPr>
        <w:fldChar w:fldCharType="separate"/>
      </w:r>
      <w:r w:rsidR="00BE31F7" w:rsidRPr="00BE31F7">
        <w:t>Figure 39</w:t>
      </w:r>
      <w:r w:rsidRPr="003C2819">
        <w:rPr>
          <w:rFonts w:cs="Arial"/>
          <w:lang w:eastAsia="en-GB"/>
        </w:rPr>
        <w:fldChar w:fldCharType="end"/>
      </w:r>
      <w:r>
        <w:rPr>
          <w:rFonts w:cs="Arial"/>
          <w:lang w:eastAsia="en-GB"/>
        </w:rPr>
        <w:t xml:space="preserve"> </w:t>
      </w:r>
      <w:r w:rsidR="0040254E">
        <w:rPr>
          <w:rFonts w:cs="Arial"/>
          <w:lang w:eastAsia="en-GB"/>
        </w:rPr>
        <w:t>that using the higher subcarrier spacings of 480kHz and 960kHz comes at the cost of reduced coverage compared to using</w:t>
      </w:r>
      <w:r w:rsidR="009F6C66">
        <w:rPr>
          <w:rFonts w:cs="Arial"/>
          <w:lang w:eastAsia="en-GB"/>
        </w:rPr>
        <w:t xml:space="preserve"> the already supported</w:t>
      </w:r>
      <w:r w:rsidR="0040254E">
        <w:rPr>
          <w:rFonts w:cs="Arial"/>
          <w:lang w:eastAsia="en-GB"/>
        </w:rPr>
        <w:t xml:space="preserve"> subcarrier spacings 120kHz and 240kHz.</w:t>
      </w:r>
    </w:p>
    <w:p w14:paraId="716907CC" w14:textId="13383E75" w:rsidR="00DF2A19" w:rsidRDefault="00DF2A19" w:rsidP="00DF2A19">
      <w:pPr>
        <w:pStyle w:val="Proposal"/>
      </w:pPr>
      <w:bookmarkStart w:id="609" w:name="_Toc53776219"/>
      <w:r w:rsidRPr="00DF2A19">
        <w:t>Capture the following observation in TR 38.808:</w:t>
      </w:r>
      <w:r>
        <w:t xml:space="preserve"> It is beneficial for SSB coverage to </w:t>
      </w:r>
      <w:r w:rsidR="00EA1E06">
        <w:t>re</w:t>
      </w:r>
      <w:r>
        <w:t xml:space="preserve">use </w:t>
      </w:r>
      <w:r w:rsidR="00EA1E06">
        <w:t>the FR2 already supported</w:t>
      </w:r>
      <w:r>
        <w:t xml:space="preserve"> subcarrier spacings </w:t>
      </w:r>
      <w:r w:rsidR="00EA1E06">
        <w:t xml:space="preserve">of </w:t>
      </w:r>
      <w:r>
        <w:t>120kHz and 240kHz.</w:t>
      </w:r>
      <w:bookmarkEnd w:id="609"/>
    </w:p>
    <w:p w14:paraId="655D239B" w14:textId="2EB336DE" w:rsidR="00DF2A19" w:rsidRDefault="00003821" w:rsidP="00DF2A19">
      <w:pPr>
        <w:pStyle w:val="Proposal"/>
      </w:pPr>
      <w:bookmarkStart w:id="610" w:name="_Toc53776220"/>
      <w:r>
        <w:t xml:space="preserve">Only support existing </w:t>
      </w:r>
      <w:r w:rsidR="00DF2A19" w:rsidRPr="00CB3319">
        <w:t xml:space="preserve">FR2 </w:t>
      </w:r>
      <w:r w:rsidR="00DF2A19">
        <w:t>SSB</w:t>
      </w:r>
      <w:r w:rsidR="00DF2A19" w:rsidRPr="00CB3319">
        <w:t xml:space="preserve"> subcarrier spacings</w:t>
      </w:r>
      <w:r>
        <w:t xml:space="preserve"> of 120 kHz and 240 kHz</w:t>
      </w:r>
      <w:r w:rsidR="00DF2A19" w:rsidDel="00003821">
        <w:t>.</w:t>
      </w:r>
      <w:bookmarkEnd w:id="610"/>
    </w:p>
    <w:p w14:paraId="5C3874A1" w14:textId="19E2A86D" w:rsidR="00591E2A" w:rsidRDefault="00591E2A" w:rsidP="00E0459B"/>
    <w:p w14:paraId="2764290D" w14:textId="77777777" w:rsidR="00591E2A" w:rsidRPr="00E90690" w:rsidRDefault="00591E2A" w:rsidP="00E0459B"/>
    <w:p w14:paraId="74D28C90" w14:textId="31310D69" w:rsidR="00E219C5" w:rsidRDefault="00E0459B" w:rsidP="00E0459B">
      <w:pPr>
        <w:pStyle w:val="Heading3"/>
      </w:pPr>
      <w:bookmarkStart w:id="611" w:name="_Toc53775904"/>
      <w:r>
        <w:lastRenderedPageBreak/>
        <w:t>4.</w:t>
      </w:r>
      <w:r w:rsidR="00A7546B">
        <w:t>1</w:t>
      </w:r>
      <w:r>
        <w:t>.2</w:t>
      </w:r>
      <w:r>
        <w:tab/>
        <w:t>RACH Related</w:t>
      </w:r>
      <w:bookmarkEnd w:id="611"/>
    </w:p>
    <w:p w14:paraId="7FB6302F" w14:textId="020A6406" w:rsidR="00E0459B" w:rsidRDefault="00637B31" w:rsidP="00E0459B">
      <w:pPr>
        <w:rPr>
          <w:lang w:val="en-GB"/>
        </w:rPr>
      </w:pPr>
      <w:r w:rsidRPr="007F45AC">
        <w:rPr>
          <w:noProof/>
        </w:rPr>
        <mc:AlternateContent>
          <mc:Choice Requires="wps">
            <w:drawing>
              <wp:inline distT="0" distB="0" distL="0" distR="0" wp14:anchorId="5DE4059A" wp14:editId="0FB7D02C">
                <wp:extent cx="6086475" cy="798830"/>
                <wp:effectExtent l="0" t="0" r="28575" b="22225"/>
                <wp:docPr id="12393409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798830"/>
                        </a:xfrm>
                        <a:prstGeom prst="rect">
                          <a:avLst/>
                        </a:prstGeom>
                        <a:solidFill>
                          <a:srgbClr val="FFFFFF"/>
                        </a:solidFill>
                        <a:ln w="9525">
                          <a:solidFill>
                            <a:srgbClr val="000000"/>
                          </a:solidFill>
                          <a:miter lim="800000"/>
                          <a:headEnd/>
                          <a:tailEnd/>
                        </a:ln>
                      </wps:spPr>
                      <wps:txbx>
                        <w:txbxContent>
                          <w:p w14:paraId="309E72FF" w14:textId="77777777" w:rsidR="00BE31F7" w:rsidRPr="007F1FE1" w:rsidRDefault="00BE31F7" w:rsidP="00637B31">
                            <w:pPr>
                              <w:spacing w:after="0"/>
                              <w:rPr>
                                <w:sz w:val="24"/>
                                <w:szCs w:val="24"/>
                              </w:rPr>
                            </w:pPr>
                            <w:r w:rsidRPr="007F1FE1">
                              <w:rPr>
                                <w:rFonts w:ascii="Times" w:eastAsia="Batang" w:hAnsi="Times"/>
                                <w:color w:val="181818"/>
                                <w:spacing w:val="-6"/>
                                <w:kern w:val="20"/>
                                <w:highlight w:val="green"/>
                              </w:rPr>
                              <w:t>Agreement</w:t>
                            </w:r>
                            <w:r w:rsidRPr="007F1FE1">
                              <w:rPr>
                                <w:rFonts w:ascii="Times" w:eastAsia="Batang" w:hAnsi="Times"/>
                                <w:color w:val="181818"/>
                                <w:spacing w:val="-6"/>
                                <w:kern w:val="20"/>
                              </w:rPr>
                              <w:t>:</w:t>
                            </w:r>
                          </w:p>
                          <w:p w14:paraId="49AE808C" w14:textId="77777777" w:rsidR="00BE31F7" w:rsidRPr="007F1FE1" w:rsidRDefault="00BE31F7" w:rsidP="00637B31">
                            <w:pPr>
                              <w:spacing w:after="0"/>
                              <w:rPr>
                                <w:sz w:val="24"/>
                                <w:szCs w:val="24"/>
                              </w:rPr>
                            </w:pPr>
                            <w:r w:rsidRPr="007F1FE1">
                              <w:rPr>
                                <w:rFonts w:ascii="Times" w:eastAsia="Batang" w:hAnsi="Times"/>
                                <w:color w:val="181818"/>
                                <w:spacing w:val="-6"/>
                                <w:kern w:val="20"/>
                              </w:rPr>
                              <w:t xml:space="preserve">Consider the at least following aspects for </w:t>
                            </w:r>
                            <w:r w:rsidRPr="007F1FE1">
                              <w:rPr>
                                <w:rFonts w:ascii="Times" w:eastAsia="Batang" w:hAnsi="Times"/>
                                <w:color w:val="181818"/>
                                <w:spacing w:val="-6"/>
                                <w:kern w:val="20"/>
                                <w:highlight w:val="yellow"/>
                              </w:rPr>
                              <w:t xml:space="preserve">PRACH design </w:t>
                            </w:r>
                            <w:r w:rsidRPr="007F1FE1">
                              <w:rPr>
                                <w:rFonts w:ascii="Times" w:eastAsia="Batang" w:hAnsi="Times"/>
                                <w:color w:val="181818"/>
                                <w:spacing w:val="-6"/>
                                <w:kern w:val="20"/>
                              </w:rPr>
                              <w:t>of NR operating in 52.6 GHz to 71 GHz</w:t>
                            </w:r>
                          </w:p>
                          <w:p w14:paraId="46865885" w14:textId="77777777" w:rsidR="00BE31F7" w:rsidRPr="007F1FE1" w:rsidRDefault="00BE31F7" w:rsidP="00637B31">
                            <w:pPr>
                              <w:numPr>
                                <w:ilvl w:val="0"/>
                                <w:numId w:val="39"/>
                              </w:numPr>
                              <w:overflowPunct/>
                              <w:autoSpaceDE/>
                              <w:autoSpaceDN/>
                              <w:adjustRightInd/>
                              <w:spacing w:after="0"/>
                              <w:contextualSpacing/>
                              <w:rPr>
                                <w:color w:val="181818"/>
                                <w:szCs w:val="24"/>
                              </w:rPr>
                            </w:pPr>
                            <w:r w:rsidRPr="007F1FE1">
                              <w:rPr>
                                <w:rFonts w:ascii="Times" w:eastAsia="Batang" w:hAnsi="Times"/>
                                <w:color w:val="181818"/>
                                <w:spacing w:val="-6"/>
                                <w:kern w:val="20"/>
                              </w:rPr>
                              <w:t xml:space="preserve">PRACH coverage requirements </w:t>
                            </w:r>
                          </w:p>
                          <w:p w14:paraId="2AFEC21B" w14:textId="77777777" w:rsidR="00BE31F7" w:rsidRPr="007F1FE1" w:rsidRDefault="00BE31F7" w:rsidP="00637B31">
                            <w:pPr>
                              <w:numPr>
                                <w:ilvl w:val="0"/>
                                <w:numId w:val="39"/>
                              </w:numPr>
                              <w:overflowPunct/>
                              <w:autoSpaceDE/>
                              <w:autoSpaceDN/>
                              <w:adjustRightInd/>
                              <w:spacing w:after="0"/>
                              <w:contextualSpacing/>
                              <w:rPr>
                                <w:color w:val="181818"/>
                                <w:szCs w:val="24"/>
                              </w:rPr>
                            </w:pPr>
                            <w:r w:rsidRPr="007F1FE1">
                              <w:rPr>
                                <w:rFonts w:ascii="Times" w:eastAsia="Batang" w:hAnsi="Times"/>
                                <w:color w:val="181818"/>
                                <w:spacing w:val="-6"/>
                                <w:kern w:val="20"/>
                              </w:rPr>
                              <w:t>applicable PRACH Sequence length(s) and subcarrier spacing(s) for PRACH, including any impact on PRACH coverage and capacity from the applicable sequence length(s).</w:t>
                            </w:r>
                          </w:p>
                          <w:p w14:paraId="0A694CD8" w14:textId="77777777" w:rsidR="00BE31F7" w:rsidRPr="007F1FE1" w:rsidRDefault="00BE31F7" w:rsidP="00637B31">
                            <w:pPr>
                              <w:numPr>
                                <w:ilvl w:val="0"/>
                                <w:numId w:val="39"/>
                              </w:numPr>
                              <w:overflowPunct/>
                              <w:autoSpaceDE/>
                              <w:autoSpaceDN/>
                              <w:adjustRightInd/>
                              <w:spacing w:after="0"/>
                              <w:contextualSpacing/>
                              <w:rPr>
                                <w:color w:val="181818"/>
                                <w:szCs w:val="24"/>
                              </w:rPr>
                            </w:pPr>
                            <w:r w:rsidRPr="007F1FE1">
                              <w:rPr>
                                <w:rFonts w:ascii="Times" w:eastAsia="Batang" w:hAnsi="Times"/>
                                <w:color w:val="181818"/>
                                <w:spacing w:val="-6"/>
                                <w:kern w:val="20"/>
                              </w:rPr>
                              <w:t>RACH RO configurations with new SCS (if new SCS is supported)</w:t>
                            </w:r>
                          </w:p>
                          <w:p w14:paraId="04B5B571" w14:textId="77777777" w:rsidR="00BE31F7" w:rsidRPr="007F45AC" w:rsidRDefault="00BE31F7" w:rsidP="00637B31">
                            <w:pPr>
                              <w:numPr>
                                <w:ilvl w:val="0"/>
                                <w:numId w:val="39"/>
                              </w:numPr>
                              <w:overflowPunct/>
                              <w:autoSpaceDE/>
                              <w:autoSpaceDN/>
                              <w:adjustRightInd/>
                              <w:spacing w:after="0"/>
                              <w:contextualSpacing/>
                              <w:rPr>
                                <w:color w:val="181818"/>
                                <w:szCs w:val="24"/>
                              </w:rPr>
                            </w:pPr>
                            <w:r w:rsidRPr="007F1FE1">
                              <w:rPr>
                                <w:rFonts w:ascii="Times" w:eastAsia="Batang" w:hAnsi="Times"/>
                                <w:color w:val="181818"/>
                                <w:spacing w:val="-6"/>
                                <w:kern w:val="20"/>
                              </w:rPr>
                              <w:t>LBT gap between RACH occasions (RO)</w:t>
                            </w:r>
                          </w:p>
                        </w:txbxContent>
                      </wps:txbx>
                      <wps:bodyPr rot="0" vert="horz" wrap="square" lIns="91440" tIns="45720" rIns="91440" bIns="45720" anchor="t" anchorCtr="0">
                        <a:spAutoFit/>
                      </wps:bodyPr>
                    </wps:wsp>
                  </a:graphicData>
                </a:graphic>
              </wp:inline>
            </w:drawing>
          </mc:Choice>
          <mc:Fallback>
            <w:pict>
              <v:shape w14:anchorId="5DE4059A" id="_x0000_s1032" type="#_x0000_t202" style="width:479.25pt;height:6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">
                <v:textbox style="mso-fit-shape-to-text:t">
                  <w:txbxContent>
                    <w:p w14:paraId="309E72FF" w14:textId="77777777" w:rsidR="00BE31F7" w:rsidRPr="007F1FE1" w:rsidRDefault="00BE31F7" w:rsidP="00637B31">
                      <w:pPr>
                        <w:spacing w:after="0"/>
                        <w:rPr>
                          <w:sz w:val="24"/>
                          <w:szCs w:val="24"/>
                        </w:rPr>
                      </w:pPr>
                      <w:r w:rsidRPr="007F1FE1">
                        <w:rPr>
                          <w:rFonts w:ascii="Times" w:eastAsia="Batang" w:hAnsi="Times"/>
                          <w:color w:val="181818"/>
                          <w:spacing w:val="-6"/>
                          <w:kern w:val="20"/>
                          <w:highlight w:val="green"/>
                        </w:rPr>
                        <w:t>Agreement</w:t>
                      </w:r>
                      <w:r w:rsidRPr="007F1FE1">
                        <w:rPr>
                          <w:rFonts w:ascii="Times" w:eastAsia="Batang" w:hAnsi="Times"/>
                          <w:color w:val="181818"/>
                          <w:spacing w:val="-6"/>
                          <w:kern w:val="20"/>
                        </w:rPr>
                        <w:t>:</w:t>
                      </w:r>
                    </w:p>
                    <w:p w14:paraId="49AE808C" w14:textId="77777777" w:rsidR="00BE31F7" w:rsidRPr="007F1FE1" w:rsidRDefault="00BE31F7" w:rsidP="00637B31">
                      <w:pPr>
                        <w:spacing w:after="0"/>
                        <w:rPr>
                          <w:sz w:val="24"/>
                          <w:szCs w:val="24"/>
                        </w:rPr>
                      </w:pPr>
                      <w:r w:rsidRPr="007F1FE1">
                        <w:rPr>
                          <w:rFonts w:ascii="Times" w:eastAsia="Batang" w:hAnsi="Times"/>
                          <w:color w:val="181818"/>
                          <w:spacing w:val="-6"/>
                          <w:kern w:val="20"/>
                        </w:rPr>
                        <w:t xml:space="preserve">Consider the at least following aspects for </w:t>
                      </w:r>
                      <w:r w:rsidRPr="007F1FE1">
                        <w:rPr>
                          <w:rFonts w:ascii="Times" w:eastAsia="Batang" w:hAnsi="Times"/>
                          <w:color w:val="181818"/>
                          <w:spacing w:val="-6"/>
                          <w:kern w:val="20"/>
                          <w:highlight w:val="yellow"/>
                        </w:rPr>
                        <w:t xml:space="preserve">PRACH design </w:t>
                      </w:r>
                      <w:r w:rsidRPr="007F1FE1">
                        <w:rPr>
                          <w:rFonts w:ascii="Times" w:eastAsia="Batang" w:hAnsi="Times"/>
                          <w:color w:val="181818"/>
                          <w:spacing w:val="-6"/>
                          <w:kern w:val="20"/>
                        </w:rPr>
                        <w:t>of NR operating in 52.6 GHz to 71 GHz</w:t>
                      </w:r>
                    </w:p>
                    <w:p w14:paraId="46865885" w14:textId="77777777" w:rsidR="00BE31F7" w:rsidRPr="007F1FE1" w:rsidRDefault="00BE31F7" w:rsidP="00637B31">
                      <w:pPr>
                        <w:numPr>
                          <w:ilvl w:val="0"/>
                          <w:numId w:val="39"/>
                        </w:numPr>
                        <w:overflowPunct/>
                        <w:autoSpaceDE/>
                        <w:autoSpaceDN/>
                        <w:adjustRightInd/>
                        <w:spacing w:after="0"/>
                        <w:contextualSpacing/>
                        <w:rPr>
                          <w:color w:val="181818"/>
                          <w:szCs w:val="24"/>
                        </w:rPr>
                      </w:pPr>
                      <w:r w:rsidRPr="007F1FE1">
                        <w:rPr>
                          <w:rFonts w:ascii="Times" w:eastAsia="Batang" w:hAnsi="Times"/>
                          <w:color w:val="181818"/>
                          <w:spacing w:val="-6"/>
                          <w:kern w:val="20"/>
                        </w:rPr>
                        <w:t xml:space="preserve">PRACH coverage requirements </w:t>
                      </w:r>
                    </w:p>
                    <w:p w14:paraId="2AFEC21B" w14:textId="77777777" w:rsidR="00BE31F7" w:rsidRPr="007F1FE1" w:rsidRDefault="00BE31F7" w:rsidP="00637B31">
                      <w:pPr>
                        <w:numPr>
                          <w:ilvl w:val="0"/>
                          <w:numId w:val="39"/>
                        </w:numPr>
                        <w:overflowPunct/>
                        <w:autoSpaceDE/>
                        <w:autoSpaceDN/>
                        <w:adjustRightInd/>
                        <w:spacing w:after="0"/>
                        <w:contextualSpacing/>
                        <w:rPr>
                          <w:color w:val="181818"/>
                          <w:szCs w:val="24"/>
                        </w:rPr>
                      </w:pPr>
                      <w:r w:rsidRPr="007F1FE1">
                        <w:rPr>
                          <w:rFonts w:ascii="Times" w:eastAsia="Batang" w:hAnsi="Times"/>
                          <w:color w:val="181818"/>
                          <w:spacing w:val="-6"/>
                          <w:kern w:val="20"/>
                        </w:rPr>
                        <w:t>applicable PRACH Sequence length(s) and subcarrier spacing(s) for PRACH, including any impact on PRACH coverage and capacity from the applicable sequence length(s).</w:t>
                      </w:r>
                    </w:p>
                    <w:p w14:paraId="0A694CD8" w14:textId="77777777" w:rsidR="00BE31F7" w:rsidRPr="007F1FE1" w:rsidRDefault="00BE31F7" w:rsidP="00637B31">
                      <w:pPr>
                        <w:numPr>
                          <w:ilvl w:val="0"/>
                          <w:numId w:val="39"/>
                        </w:numPr>
                        <w:overflowPunct/>
                        <w:autoSpaceDE/>
                        <w:autoSpaceDN/>
                        <w:adjustRightInd/>
                        <w:spacing w:after="0"/>
                        <w:contextualSpacing/>
                        <w:rPr>
                          <w:color w:val="181818"/>
                          <w:szCs w:val="24"/>
                        </w:rPr>
                      </w:pPr>
                      <w:r w:rsidRPr="007F1FE1">
                        <w:rPr>
                          <w:rFonts w:ascii="Times" w:eastAsia="Batang" w:hAnsi="Times"/>
                          <w:color w:val="181818"/>
                          <w:spacing w:val="-6"/>
                          <w:kern w:val="20"/>
                        </w:rPr>
                        <w:t>RACH RO configurations with new SCS (if new SCS is supported)</w:t>
                      </w:r>
                    </w:p>
                    <w:p w14:paraId="04B5B571" w14:textId="77777777" w:rsidR="00BE31F7" w:rsidRPr="007F45AC" w:rsidRDefault="00BE31F7" w:rsidP="00637B31">
                      <w:pPr>
                        <w:numPr>
                          <w:ilvl w:val="0"/>
                          <w:numId w:val="39"/>
                        </w:numPr>
                        <w:overflowPunct/>
                        <w:autoSpaceDE/>
                        <w:autoSpaceDN/>
                        <w:adjustRightInd/>
                        <w:spacing w:after="0"/>
                        <w:contextualSpacing/>
                        <w:rPr>
                          <w:color w:val="181818"/>
                          <w:szCs w:val="24"/>
                        </w:rPr>
                      </w:pPr>
                      <w:r w:rsidRPr="007F1FE1">
                        <w:rPr>
                          <w:rFonts w:ascii="Times" w:eastAsia="Batang" w:hAnsi="Times"/>
                          <w:color w:val="181818"/>
                          <w:spacing w:val="-6"/>
                          <w:kern w:val="20"/>
                        </w:rPr>
                        <w:t>LBT gap between RACH occasions (RO)</w:t>
                      </w:r>
                    </w:p>
                  </w:txbxContent>
                </v:textbox>
                <w10:anchorlock/>
              </v:shape>
            </w:pict>
          </mc:Fallback>
        </mc:AlternateContent>
      </w:r>
    </w:p>
    <w:p w14:paraId="4F585DDB" w14:textId="77777777" w:rsidR="00CB3319" w:rsidRDefault="00CB3319">
      <w:pPr>
        <w:overflowPunct/>
        <w:autoSpaceDE/>
        <w:autoSpaceDN/>
        <w:adjustRightInd/>
        <w:spacing w:after="160" w:line="259" w:lineRule="auto"/>
        <w:textAlignment w:val="auto"/>
        <w:rPr>
          <w:lang w:val="en-GB"/>
        </w:rPr>
      </w:pPr>
    </w:p>
    <w:p w14:paraId="385F021D" w14:textId="5BB30540" w:rsidR="00AF645E" w:rsidRPr="003C2819" w:rsidRDefault="00AF645E" w:rsidP="003C2819">
      <w:pPr>
        <w:pStyle w:val="BodyText"/>
        <w:rPr>
          <w:b/>
          <w:bCs/>
          <w:u w:val="single"/>
        </w:rPr>
      </w:pPr>
      <w:r>
        <w:rPr>
          <w:rFonts w:eastAsia="Batang"/>
          <w:b/>
          <w:bCs/>
          <w:color w:val="181818"/>
          <w:spacing w:val="-6"/>
          <w:kern w:val="20"/>
          <w:u w:val="single"/>
        </w:rPr>
        <w:t>PRACH link budget and subcarrier spacing</w:t>
      </w:r>
    </w:p>
    <w:p w14:paraId="079F8F07" w14:textId="7F8A5B56" w:rsidR="00CB3319" w:rsidRPr="003C2819" w:rsidRDefault="009428F1" w:rsidP="004F69A1">
      <w:pPr>
        <w:pStyle w:val="BodyText"/>
        <w:rPr>
          <w:rFonts w:cs="Arial"/>
          <w:lang w:val="en-GB"/>
        </w:rPr>
      </w:pPr>
      <w:r w:rsidRPr="004F69A1">
        <w:t xml:space="preserve">PRACH </w:t>
      </w:r>
      <w:r w:rsidR="00CB3319" w:rsidRPr="003C2819">
        <w:rPr>
          <w:rFonts w:cs="Arial"/>
          <w:lang w:val="en-GB"/>
        </w:rPr>
        <w:t xml:space="preserve">link budgets are presented </w:t>
      </w:r>
      <w:r w:rsidR="00496ECD">
        <w:rPr>
          <w:rFonts w:cs="Arial"/>
          <w:lang w:val="en-GB"/>
        </w:rPr>
        <w:t xml:space="preserve">here </w:t>
      </w:r>
      <w:r w:rsidR="00CB3319" w:rsidRPr="003C2819">
        <w:rPr>
          <w:rFonts w:cs="Arial"/>
          <w:lang w:val="en-GB"/>
        </w:rPr>
        <w:t>and used to deduce appropriate PRACH subcarrier spacings (SCSs).</w:t>
      </w:r>
    </w:p>
    <w:p w14:paraId="0F3EBEA3" w14:textId="7E1B5242" w:rsidR="00CB3319" w:rsidRPr="00775DFA" w:rsidRDefault="00CB3319" w:rsidP="00E2446B">
      <w:pPr>
        <w:pStyle w:val="BodyText"/>
        <w:rPr>
          <w:rFonts w:cs="Arial"/>
          <w:lang w:val="en-GB"/>
        </w:rPr>
      </w:pPr>
      <w:r w:rsidRPr="004F69A1">
        <w:t>Raw link-simulation results in terms of misdetection rate vs SNR are presented in</w:t>
      </w:r>
      <w:r w:rsidR="00341417" w:rsidRPr="004F69A1">
        <w:t xml:space="preserve"> </w:t>
      </w:r>
      <w:r w:rsidR="00341417" w:rsidRPr="004F69A1">
        <w:fldChar w:fldCharType="begin"/>
      </w:r>
      <w:r w:rsidR="00341417" w:rsidRPr="004F69A1">
        <w:instrText xml:space="preserve"> REF _Ref53396159 \r \h </w:instrText>
      </w:r>
      <w:r w:rsidR="00A30132">
        <w:instrText xml:space="preserve"> \* MERGEFORMAT </w:instrText>
      </w:r>
      <w:r w:rsidR="00341417" w:rsidRPr="004F69A1">
        <w:fldChar w:fldCharType="separate"/>
      </w:r>
      <w:r w:rsidR="00BE31F7">
        <w:t>[7]</w:t>
      </w:r>
      <w:r w:rsidR="00341417" w:rsidRPr="004F69A1">
        <w:fldChar w:fldCharType="end"/>
      </w:r>
      <w:r w:rsidRPr="004F69A1">
        <w:t xml:space="preserve"> for a wide range of scenarios. Since performance </w:t>
      </w:r>
      <w:r w:rsidR="00D32404">
        <w:rPr>
          <w:rFonts w:cs="Arial"/>
          <w:lang w:val="en-GB"/>
        </w:rPr>
        <w:t>trends comparing</w:t>
      </w:r>
      <w:r>
        <w:rPr>
          <w:rFonts w:cs="Arial"/>
          <w:lang w:val="en-GB"/>
        </w:rPr>
        <w:t xml:space="preserve"> </w:t>
      </w:r>
      <w:r w:rsidRPr="003C2819">
        <w:rPr>
          <w:rFonts w:cs="Arial"/>
          <w:lang w:val="en-GB"/>
        </w:rPr>
        <w:t xml:space="preserve">different PRACH configurations such as </w:t>
      </w:r>
      <w:r w:rsidR="00D32404">
        <w:rPr>
          <w:rFonts w:cs="Arial"/>
          <w:lang w:val="en-GB"/>
        </w:rPr>
        <w:t xml:space="preserve">different </w:t>
      </w:r>
      <w:r w:rsidRPr="003C2819">
        <w:rPr>
          <w:rFonts w:cs="Arial"/>
          <w:lang w:val="en-GB"/>
        </w:rPr>
        <w:t xml:space="preserve">SCS </w:t>
      </w:r>
      <w:r w:rsidR="00D32404">
        <w:rPr>
          <w:rFonts w:cs="Arial"/>
          <w:lang w:val="en-GB"/>
        </w:rPr>
        <w:t>are</w:t>
      </w:r>
      <w:r w:rsidRPr="003C2819">
        <w:rPr>
          <w:rFonts w:cs="Arial"/>
          <w:lang w:val="en-GB"/>
        </w:rPr>
        <w:t xml:space="preserve"> found to be </w:t>
      </w:r>
      <w:proofErr w:type="gramStart"/>
      <w:r w:rsidR="00AF645E">
        <w:rPr>
          <w:rFonts w:cs="Arial"/>
          <w:lang w:val="en-GB"/>
        </w:rPr>
        <w:t>fairly</w:t>
      </w:r>
      <w:r w:rsidRPr="003C2819">
        <w:rPr>
          <w:rFonts w:cs="Arial"/>
          <w:lang w:val="en-GB"/>
        </w:rPr>
        <w:t xml:space="preserve"> independent</w:t>
      </w:r>
      <w:proofErr w:type="gramEnd"/>
      <w:r w:rsidRPr="003C2819">
        <w:rPr>
          <w:rFonts w:cs="Arial"/>
          <w:lang w:val="en-GB"/>
        </w:rPr>
        <w:t xml:space="preserve"> of delay spread and propagation round-trip time (RTT), we here for simplicity focus on the case of </w:t>
      </w:r>
      <w:r w:rsidR="00775DFA">
        <w:rPr>
          <w:rFonts w:cs="Arial"/>
          <w:lang w:val="en-GB"/>
        </w:rPr>
        <w:t>20 </w:t>
      </w:r>
      <w:r w:rsidRPr="003C2819">
        <w:rPr>
          <w:rFonts w:cs="Arial"/>
          <w:lang w:val="en-GB"/>
        </w:rPr>
        <w:t xml:space="preserve">ns delay spread and </w:t>
      </w:r>
      <w:r w:rsidR="00AF645E">
        <w:rPr>
          <w:rFonts w:cs="Arial"/>
          <w:lang w:val="en-GB"/>
        </w:rPr>
        <w:t xml:space="preserve">a maximum RTT of </w:t>
      </w:r>
      <w:r w:rsidRPr="003C2819">
        <w:rPr>
          <w:rFonts w:cs="Arial"/>
          <w:lang w:val="en-GB"/>
        </w:rPr>
        <w:t>380</w:t>
      </w:r>
      <w:r w:rsidR="00341417">
        <w:rPr>
          <w:rFonts w:cs="Arial"/>
          <w:lang w:val="en-GB"/>
        </w:rPr>
        <w:t> </w:t>
      </w:r>
      <w:r w:rsidRPr="003C2819">
        <w:rPr>
          <w:rFonts w:cs="Arial"/>
          <w:lang w:val="en-GB"/>
        </w:rPr>
        <w:t xml:space="preserve">ns. Maximum isotropic loss (MIL) for this </w:t>
      </w:r>
      <w:r w:rsidRPr="00775DFA">
        <w:rPr>
          <w:rFonts w:cs="Arial"/>
          <w:lang w:val="en-GB"/>
        </w:rPr>
        <w:t xml:space="preserve">scenario </w:t>
      </w:r>
      <w:r w:rsidR="00AF645E" w:rsidRPr="00775DFA">
        <w:rPr>
          <w:rFonts w:cs="Arial"/>
          <w:lang w:val="en-GB"/>
        </w:rPr>
        <w:t>is</w:t>
      </w:r>
      <w:r w:rsidRPr="00775DFA">
        <w:rPr>
          <w:rFonts w:cs="Arial"/>
          <w:lang w:val="en-GB"/>
        </w:rPr>
        <w:t xml:space="preserve"> </w:t>
      </w:r>
      <w:r w:rsidR="00021B75" w:rsidRPr="00775DFA">
        <w:rPr>
          <w:rFonts w:cs="Arial"/>
          <w:lang w:val="en-GB"/>
        </w:rPr>
        <w:t>shown</w:t>
      </w:r>
      <w:r w:rsidRPr="00775DFA">
        <w:rPr>
          <w:rFonts w:cs="Arial"/>
          <w:lang w:val="en-GB"/>
        </w:rPr>
        <w:t xml:space="preserve"> in </w:t>
      </w:r>
      <w:r w:rsidR="00775DFA" w:rsidRPr="00E5446B">
        <w:rPr>
          <w:rFonts w:cs="Arial"/>
          <w:lang w:val="en-GB"/>
        </w:rPr>
        <w:fldChar w:fldCharType="begin"/>
      </w:r>
      <w:r w:rsidR="00775DFA" w:rsidRPr="00775DFA">
        <w:rPr>
          <w:rFonts w:cs="Arial"/>
          <w:lang w:val="en-GB"/>
        </w:rPr>
        <w:instrText xml:space="preserve"> REF _Ref53588805 \h </w:instrText>
      </w:r>
      <w:r w:rsidR="00775DFA" w:rsidRPr="004F69A1">
        <w:rPr>
          <w:rFonts w:cs="Arial"/>
          <w:lang w:val="en-GB"/>
        </w:rPr>
        <w:instrText xml:space="preserve"> \* MERGEFORMAT </w:instrText>
      </w:r>
      <w:r w:rsidR="00775DFA" w:rsidRPr="00E5446B">
        <w:rPr>
          <w:rFonts w:cs="Arial"/>
          <w:lang w:val="en-GB"/>
        </w:rPr>
      </w:r>
      <w:r w:rsidR="00775DFA" w:rsidRPr="00E5446B">
        <w:rPr>
          <w:rFonts w:cs="Arial"/>
          <w:lang w:val="en-GB"/>
        </w:rPr>
        <w:fldChar w:fldCharType="separate"/>
      </w:r>
      <w:r w:rsidR="00BE31F7" w:rsidRPr="00BE31F7">
        <w:rPr>
          <w:rFonts w:cs="Arial"/>
        </w:rPr>
        <w:t>Figure 40</w:t>
      </w:r>
      <w:r w:rsidR="00775DFA" w:rsidRPr="00E5446B">
        <w:rPr>
          <w:rFonts w:cs="Arial"/>
          <w:lang w:val="en-GB"/>
        </w:rPr>
        <w:fldChar w:fldCharType="end"/>
      </w:r>
      <w:r w:rsidRPr="003C2819">
        <w:rPr>
          <w:rFonts w:cs="Arial"/>
          <w:lang w:val="en-GB"/>
        </w:rPr>
        <w:t xml:space="preserve"> for several different PRACH configurations. Detailed derivations of the MIL </w:t>
      </w:r>
      <w:r w:rsidR="00AF645E">
        <w:rPr>
          <w:rFonts w:cs="Arial"/>
          <w:lang w:val="en-GB"/>
        </w:rPr>
        <w:t xml:space="preserve">as well as maximum coupling loss (MCL) </w:t>
      </w:r>
      <w:r w:rsidRPr="003C2819">
        <w:rPr>
          <w:rFonts w:cs="Arial"/>
          <w:lang w:val="en-GB"/>
        </w:rPr>
        <w:t>can be found in</w:t>
      </w:r>
      <w:r w:rsidR="00341417">
        <w:rPr>
          <w:rFonts w:cs="Arial"/>
          <w:lang w:val="en-GB"/>
        </w:rPr>
        <w:t xml:space="preserve"> </w:t>
      </w:r>
      <w:r w:rsidR="00341417" w:rsidRPr="00E5446B">
        <w:rPr>
          <w:rFonts w:cs="Arial"/>
          <w:lang w:val="en-GB"/>
        </w:rPr>
        <w:fldChar w:fldCharType="begin"/>
      </w:r>
      <w:r w:rsidR="00341417" w:rsidRPr="00775DFA">
        <w:rPr>
          <w:rFonts w:cs="Arial"/>
          <w:lang w:val="en-GB"/>
        </w:rPr>
        <w:instrText xml:space="preserve"> REF _Ref53396159 \r \h </w:instrText>
      </w:r>
      <w:r w:rsidR="00775DFA" w:rsidRPr="004F69A1">
        <w:rPr>
          <w:rFonts w:cs="Arial"/>
          <w:lang w:val="en-GB"/>
        </w:rPr>
        <w:instrText xml:space="preserve"> \* MERGEFORMAT </w:instrText>
      </w:r>
      <w:r w:rsidR="00341417" w:rsidRPr="00E5446B">
        <w:rPr>
          <w:rFonts w:cs="Arial"/>
          <w:lang w:val="en-GB"/>
        </w:rPr>
      </w:r>
      <w:r w:rsidR="00341417" w:rsidRPr="00E5446B">
        <w:rPr>
          <w:rFonts w:cs="Arial"/>
          <w:lang w:val="en-GB"/>
        </w:rPr>
        <w:fldChar w:fldCharType="separate"/>
      </w:r>
      <w:r w:rsidR="00BE31F7">
        <w:rPr>
          <w:rFonts w:cs="Arial"/>
          <w:lang w:val="en-GB"/>
        </w:rPr>
        <w:t>[7]</w:t>
      </w:r>
      <w:r w:rsidR="00341417" w:rsidRPr="00E5446B">
        <w:rPr>
          <w:rFonts w:cs="Arial"/>
          <w:lang w:val="en-GB"/>
        </w:rPr>
        <w:fldChar w:fldCharType="end"/>
      </w:r>
      <w:r w:rsidRPr="00775DFA">
        <w:rPr>
          <w:rFonts w:cs="Arial"/>
          <w:lang w:val="en-GB"/>
        </w:rPr>
        <w:t>.</w:t>
      </w:r>
      <w:r w:rsidR="00775DFA">
        <w:rPr>
          <w:rFonts w:cs="Arial"/>
          <w:lang w:val="en-GB"/>
        </w:rPr>
        <w:t xml:space="preserve"> </w:t>
      </w:r>
      <w:r w:rsidR="006564F5">
        <w:rPr>
          <w:rFonts w:cs="Arial"/>
          <w:lang w:val="en-GB"/>
        </w:rPr>
        <w:t xml:space="preserve">Note that MIL is defined as MIL = MCL + Antenna Gain. </w:t>
      </w:r>
      <w:r w:rsidR="00775DFA">
        <w:rPr>
          <w:rFonts w:cs="Arial"/>
          <w:lang w:val="en-GB"/>
        </w:rPr>
        <w:t>We note that not all of the long sequence lengths (571/1151) are evaluated for the larger subcarrier spacings since the PRACH bandwidth becomes excessive.</w:t>
      </w:r>
    </w:p>
    <w:p w14:paraId="75242471" w14:textId="1802255C" w:rsidR="00CB3319" w:rsidRPr="003C2819" w:rsidRDefault="00AF645E" w:rsidP="00917EE6">
      <w:pPr>
        <w:pStyle w:val="BodyText"/>
        <w:rPr>
          <w:rFonts w:cs="Arial"/>
          <w:lang w:val="en-GB"/>
        </w:rPr>
      </w:pPr>
      <w:r w:rsidRPr="004F69A1">
        <w:t>P</w:t>
      </w:r>
      <w:r w:rsidR="00CB3319" w:rsidRPr="004F69A1">
        <w:t>anel (a) of</w:t>
      </w:r>
      <w:r w:rsidR="00775DFA" w:rsidRPr="004F69A1">
        <w:t xml:space="preserve"> </w:t>
      </w:r>
      <w:r w:rsidR="00775DFA" w:rsidRPr="004F69A1">
        <w:fldChar w:fldCharType="begin"/>
      </w:r>
      <w:r w:rsidR="00775DFA" w:rsidRPr="004F69A1">
        <w:instrText xml:space="preserve"> REF _Ref53588805 \h  \* MERGEFORMAT </w:instrText>
      </w:r>
      <w:r w:rsidR="00775DFA" w:rsidRPr="004F69A1">
        <w:fldChar w:fldCharType="separate"/>
      </w:r>
      <w:r w:rsidR="00BE31F7" w:rsidRPr="00BE31F7">
        <w:t>Figure 40</w:t>
      </w:r>
      <w:r w:rsidR="00775DFA" w:rsidRPr="004F69A1">
        <w:fldChar w:fldCharType="end"/>
      </w:r>
      <w:r w:rsidRPr="004F69A1">
        <w:t xml:space="preserve"> shows results under the assumption of</w:t>
      </w:r>
      <w:r w:rsidR="00CB3319" w:rsidRPr="004F69A1">
        <w:t xml:space="preserve"> a</w:t>
      </w:r>
      <w:r w:rsidR="00341417" w:rsidRPr="004F69A1">
        <w:t xml:space="preserve">n </w:t>
      </w:r>
      <w:r w:rsidR="00CB3319" w:rsidRPr="004F69A1">
        <w:t xml:space="preserve">antenna gain (element gain + beamforming gain) of </w:t>
      </w:r>
      <w:r w:rsidR="00047F56">
        <w:t>6</w:t>
      </w:r>
      <w:r w:rsidR="00341417" w:rsidRPr="004F69A1">
        <w:t> </w:t>
      </w:r>
      <w:proofErr w:type="spellStart"/>
      <w:r w:rsidR="00CB3319" w:rsidRPr="004F69A1">
        <w:t>dB</w:t>
      </w:r>
      <w:r w:rsidR="00047F56">
        <w:t>i</w:t>
      </w:r>
      <w:proofErr w:type="spellEnd"/>
      <w:r w:rsidR="00CB3319" w:rsidRPr="004F69A1">
        <w:t xml:space="preserve"> on </w:t>
      </w:r>
      <w:r w:rsidR="00047F56">
        <w:t>the UE</w:t>
      </w:r>
      <w:r w:rsidR="00CB3319">
        <w:t xml:space="preserve"> </w:t>
      </w:r>
      <w:r w:rsidR="00CB3319" w:rsidRPr="004F69A1">
        <w:t xml:space="preserve">side </w:t>
      </w:r>
      <w:r w:rsidR="00047F56">
        <w:t xml:space="preserve">and 20 </w:t>
      </w:r>
      <w:proofErr w:type="spellStart"/>
      <w:r w:rsidR="00047F56">
        <w:t>dBi</w:t>
      </w:r>
      <w:proofErr w:type="spellEnd"/>
      <w:r w:rsidR="00CB3319">
        <w:t xml:space="preserve"> </w:t>
      </w:r>
      <w:r w:rsidR="00CB3319" w:rsidRPr="004F69A1">
        <w:t xml:space="preserve">on </w:t>
      </w:r>
      <w:r w:rsidR="00047F56">
        <w:t xml:space="preserve">the </w:t>
      </w:r>
      <w:proofErr w:type="spellStart"/>
      <w:r w:rsidR="00047F56">
        <w:t>gNB</w:t>
      </w:r>
      <w:proofErr w:type="spellEnd"/>
      <w:r w:rsidR="00047F56" w:rsidRPr="004F69A1" w:rsidDel="008309D4">
        <w:t xml:space="preserve"> </w:t>
      </w:r>
      <w:r w:rsidR="00CB3319" w:rsidRPr="004F69A1">
        <w:t>side</w:t>
      </w:r>
      <w:r w:rsidR="006663EC">
        <w:t>, like for the SSB link budgets</w:t>
      </w:r>
      <w:r w:rsidR="00CB3319" w:rsidRPr="004F69A1">
        <w:t xml:space="preserve">. </w:t>
      </w:r>
      <w:r w:rsidRPr="004F69A1">
        <w:t xml:space="preserve">All transmit power limits, regulatory as well as </w:t>
      </w:r>
      <w:r w:rsidR="00524D4A" w:rsidRPr="004F69A1">
        <w:t xml:space="preserve">other </w:t>
      </w:r>
      <w:r w:rsidRPr="004F69A1">
        <w:t>UE-specific limits, are considered</w:t>
      </w:r>
      <w:r w:rsidR="00524D4A" w:rsidRPr="004F69A1">
        <w:t>;</w:t>
      </w:r>
      <w:r w:rsidRPr="004F69A1">
        <w:t xml:space="preserve"> see the PRACH link budgets in </w:t>
      </w:r>
      <w:r w:rsidRPr="004F69A1">
        <w:fldChar w:fldCharType="begin"/>
      </w:r>
      <w:r w:rsidRPr="004F69A1">
        <w:instrText xml:space="preserve"> REF _Ref53396159 \r \h </w:instrText>
      </w:r>
      <w:r w:rsidR="00A30132">
        <w:instrText xml:space="preserve"> \* MERGEFORMAT </w:instrText>
      </w:r>
      <w:r w:rsidRPr="004F69A1">
        <w:fldChar w:fldCharType="separate"/>
      </w:r>
      <w:r w:rsidR="00BE31F7">
        <w:t>[7]</w:t>
      </w:r>
      <w:r w:rsidRPr="004F69A1">
        <w:fldChar w:fldCharType="end"/>
      </w:r>
      <w:r w:rsidRPr="004F69A1">
        <w:t xml:space="preserve"> for details. </w:t>
      </w:r>
      <w:r w:rsidR="00917FE8">
        <w:t xml:space="preserve">Note that under these power limits, the relative performance of the different considered PRACH settings is not affected by antenna gain assumptions </w:t>
      </w:r>
      <w:proofErr w:type="gramStart"/>
      <w:r w:rsidR="00917FE8">
        <w:t>as long as</w:t>
      </w:r>
      <w:proofErr w:type="gramEnd"/>
      <w:r w:rsidR="00917FE8">
        <w:t xml:space="preserve"> the UE antenna gain is at least 6 </w:t>
      </w:r>
      <w:proofErr w:type="spellStart"/>
      <w:r w:rsidR="00917FE8">
        <w:t>dBi</w:t>
      </w:r>
      <w:proofErr w:type="spellEnd"/>
      <w:r w:rsidR="00917FE8">
        <w:t>.</w:t>
      </w:r>
      <w:r>
        <w:t xml:space="preserve"> </w:t>
      </w:r>
      <w:r w:rsidR="00CB3319" w:rsidRPr="003C2819">
        <w:rPr>
          <w:rFonts w:cs="Arial"/>
          <w:lang w:val="en-GB"/>
        </w:rPr>
        <w:t>It can be seen that</w:t>
      </w:r>
      <w:r>
        <w:rPr>
          <w:rFonts w:cs="Arial"/>
          <w:lang w:val="en-GB"/>
        </w:rPr>
        <w:t xml:space="preserve"> </w:t>
      </w:r>
      <w:r w:rsidR="00CB3319" w:rsidRPr="003C2819">
        <w:rPr>
          <w:rFonts w:cs="Arial"/>
          <w:lang w:val="en-GB"/>
        </w:rPr>
        <w:t>120</w:t>
      </w:r>
      <w:r w:rsidR="00341417">
        <w:rPr>
          <w:rFonts w:cs="Arial"/>
          <w:lang w:val="en-GB"/>
        </w:rPr>
        <w:t> </w:t>
      </w:r>
      <w:r w:rsidR="00CB3319" w:rsidRPr="003C2819">
        <w:rPr>
          <w:rFonts w:cs="Arial"/>
          <w:lang w:val="en-GB"/>
        </w:rPr>
        <w:t xml:space="preserve">kHz </w:t>
      </w:r>
      <w:r>
        <w:rPr>
          <w:rFonts w:cs="Arial"/>
          <w:lang w:val="en-GB"/>
        </w:rPr>
        <w:t xml:space="preserve">SCS </w:t>
      </w:r>
      <w:r w:rsidR="00CB3319" w:rsidRPr="003C2819">
        <w:rPr>
          <w:rFonts w:cs="Arial"/>
          <w:lang w:val="en-GB"/>
        </w:rPr>
        <w:t>outperforms 480</w:t>
      </w:r>
      <w:r w:rsidR="00341417">
        <w:rPr>
          <w:rFonts w:cs="Arial"/>
          <w:lang w:val="en-GB"/>
        </w:rPr>
        <w:t> </w:t>
      </w:r>
      <w:r w:rsidR="00CB3319" w:rsidRPr="003C2819">
        <w:rPr>
          <w:rFonts w:cs="Arial"/>
          <w:lang w:val="en-GB"/>
        </w:rPr>
        <w:t xml:space="preserve">kHz SCS by about </w:t>
      </w:r>
      <w:r>
        <w:rPr>
          <w:rFonts w:cs="Arial"/>
          <w:lang w:val="en-GB"/>
        </w:rPr>
        <w:t>4–</w:t>
      </w:r>
      <w:r w:rsidR="00CB3319" w:rsidRPr="003C2819">
        <w:rPr>
          <w:rFonts w:cs="Arial"/>
          <w:lang w:val="en-GB"/>
        </w:rPr>
        <w:t>5</w:t>
      </w:r>
      <w:r w:rsidR="00341417">
        <w:rPr>
          <w:rFonts w:cs="Arial"/>
          <w:lang w:val="en-GB"/>
        </w:rPr>
        <w:t> </w:t>
      </w:r>
      <w:r w:rsidR="00CB3319" w:rsidRPr="003C2819">
        <w:rPr>
          <w:rFonts w:cs="Arial"/>
          <w:lang w:val="en-GB"/>
        </w:rPr>
        <w:t>dB and 960</w:t>
      </w:r>
      <w:r w:rsidR="00341417">
        <w:rPr>
          <w:rFonts w:cs="Arial"/>
          <w:lang w:val="en-GB"/>
        </w:rPr>
        <w:t> </w:t>
      </w:r>
      <w:r w:rsidR="00CB3319" w:rsidRPr="003C2819">
        <w:rPr>
          <w:rFonts w:cs="Arial"/>
          <w:lang w:val="en-GB"/>
        </w:rPr>
        <w:t>kHz SCS by</w:t>
      </w:r>
      <w:r>
        <w:rPr>
          <w:rFonts w:cs="Arial"/>
          <w:lang w:val="en-GB"/>
        </w:rPr>
        <w:t xml:space="preserve"> 8–</w:t>
      </w:r>
      <w:r w:rsidR="00CB3319" w:rsidRPr="003C2819">
        <w:rPr>
          <w:rFonts w:cs="Arial"/>
          <w:lang w:val="en-GB"/>
        </w:rPr>
        <w:t>9</w:t>
      </w:r>
      <w:r w:rsidR="00341417">
        <w:rPr>
          <w:rFonts w:cs="Arial"/>
          <w:lang w:val="en-GB"/>
        </w:rPr>
        <w:t> </w:t>
      </w:r>
      <w:r w:rsidR="00CB3319" w:rsidRPr="003C2819">
        <w:rPr>
          <w:rFonts w:cs="Arial"/>
          <w:lang w:val="en-GB"/>
        </w:rPr>
        <w:t>dB</w:t>
      </w:r>
      <w:r>
        <w:rPr>
          <w:rFonts w:cs="Arial"/>
          <w:lang w:val="en-GB"/>
        </w:rPr>
        <w:t xml:space="preserve">, </w:t>
      </w:r>
      <w:r w:rsidR="009428F1">
        <w:rPr>
          <w:rFonts w:cs="Arial"/>
          <w:lang w:val="en-GB"/>
        </w:rPr>
        <w:t>for both</w:t>
      </w:r>
      <w:r>
        <w:rPr>
          <w:rFonts w:cs="Arial"/>
          <w:lang w:val="en-GB"/>
        </w:rPr>
        <w:t xml:space="preserve"> format A3 </w:t>
      </w:r>
      <w:r w:rsidR="009428F1">
        <w:rPr>
          <w:rFonts w:cs="Arial"/>
          <w:lang w:val="en-GB"/>
        </w:rPr>
        <w:t>and</w:t>
      </w:r>
      <w:r w:rsidR="00F75D7B">
        <w:rPr>
          <w:rFonts w:cs="Arial"/>
          <w:lang w:val="en-GB"/>
        </w:rPr>
        <w:t xml:space="preserve"> </w:t>
      </w:r>
      <w:r>
        <w:rPr>
          <w:rFonts w:cs="Arial"/>
          <w:lang w:val="en-GB"/>
        </w:rPr>
        <w:t>format B4</w:t>
      </w:r>
      <w:r w:rsidR="00CB3319" w:rsidRPr="003C2819">
        <w:rPr>
          <w:rFonts w:cs="Arial"/>
          <w:lang w:val="en-GB"/>
        </w:rPr>
        <w:t xml:space="preserve">. </w:t>
      </w:r>
      <w:r w:rsidR="00B86F1D">
        <w:rPr>
          <w:rFonts w:cs="Arial"/>
          <w:lang w:val="en-GB"/>
        </w:rPr>
        <w:t>Since the design goal is coverage (cf. Section</w:t>
      </w:r>
      <w:r w:rsidR="00775DFA">
        <w:rPr>
          <w:rFonts w:cs="Arial"/>
          <w:lang w:val="en-GB"/>
        </w:rPr>
        <w:t xml:space="preserve"> 3.1)</w:t>
      </w:r>
      <w:r w:rsidR="00B86F1D">
        <w:rPr>
          <w:rFonts w:cs="Arial"/>
          <w:lang w:val="en-GB"/>
        </w:rPr>
        <w:t xml:space="preserve">, </w:t>
      </w:r>
      <w:r w:rsidR="00EE1BD7">
        <w:rPr>
          <w:rFonts w:cs="Arial"/>
          <w:lang w:val="en-GB"/>
        </w:rPr>
        <w:t xml:space="preserve">it can be concluded that </w:t>
      </w:r>
      <w:r w:rsidR="00CB3319" w:rsidRPr="003C2819">
        <w:rPr>
          <w:rFonts w:cs="Arial"/>
          <w:lang w:val="en-GB"/>
        </w:rPr>
        <w:t xml:space="preserve">120 kHz SCS, which </w:t>
      </w:r>
      <w:r w:rsidR="009428F1">
        <w:rPr>
          <w:rFonts w:cs="Arial"/>
          <w:lang w:val="en-GB"/>
        </w:rPr>
        <w:t>is</w:t>
      </w:r>
      <w:r w:rsidR="00CB3319" w:rsidRPr="003C2819">
        <w:rPr>
          <w:rFonts w:cs="Arial"/>
          <w:lang w:val="en-GB"/>
        </w:rPr>
        <w:t xml:space="preserve"> defined </w:t>
      </w:r>
      <w:r w:rsidR="00F75D7B">
        <w:rPr>
          <w:rFonts w:cs="Arial"/>
          <w:lang w:val="en-GB"/>
        </w:rPr>
        <w:t xml:space="preserve">for FR2 </w:t>
      </w:r>
      <w:r w:rsidR="00CB3319" w:rsidRPr="003C2819">
        <w:rPr>
          <w:rFonts w:cs="Arial"/>
          <w:lang w:val="en-GB"/>
        </w:rPr>
        <w:t xml:space="preserve">already </w:t>
      </w:r>
      <w:r w:rsidR="009428F1">
        <w:rPr>
          <w:rFonts w:cs="Arial"/>
          <w:lang w:val="en-GB"/>
        </w:rPr>
        <w:t>in</w:t>
      </w:r>
      <w:r w:rsidR="00CB3319" w:rsidRPr="003C2819">
        <w:rPr>
          <w:rFonts w:cs="Arial"/>
          <w:lang w:val="en-GB"/>
        </w:rPr>
        <w:t xml:space="preserve"> Rel-15, is fully </w:t>
      </w:r>
      <w:r w:rsidR="00CB3319">
        <w:rPr>
          <w:rFonts w:cs="Arial"/>
          <w:lang w:val="en-GB"/>
        </w:rPr>
        <w:t>sufficient</w:t>
      </w:r>
      <w:r w:rsidR="00CB3319" w:rsidRPr="003C2819">
        <w:rPr>
          <w:rFonts w:cs="Arial"/>
          <w:lang w:val="en-GB"/>
        </w:rPr>
        <w:t xml:space="preserve"> </w:t>
      </w:r>
      <w:r w:rsidR="008A3BEF">
        <w:rPr>
          <w:rFonts w:cs="Arial"/>
          <w:lang w:val="en-GB"/>
        </w:rPr>
        <w:t xml:space="preserve">also </w:t>
      </w:r>
      <w:r w:rsidR="00B86F1D">
        <w:rPr>
          <w:rFonts w:cs="Arial"/>
          <w:lang w:val="en-GB"/>
        </w:rPr>
        <w:t>for</w:t>
      </w:r>
      <w:r w:rsidR="009428F1">
        <w:rPr>
          <w:rFonts w:cs="Arial"/>
          <w:lang w:val="en-GB"/>
        </w:rPr>
        <w:t xml:space="preserve"> </w:t>
      </w:r>
      <w:r w:rsidR="00BB6523">
        <w:rPr>
          <w:rFonts w:cs="Arial"/>
          <w:lang w:val="en-GB"/>
        </w:rPr>
        <w:t xml:space="preserve">the </w:t>
      </w:r>
      <w:r w:rsidR="009428F1" w:rsidRPr="009428F1">
        <w:rPr>
          <w:rFonts w:cs="Arial"/>
          <w:lang w:val="en-GB"/>
        </w:rPr>
        <w:t>52.6</w:t>
      </w:r>
      <w:r w:rsidR="00BB6523">
        <w:rPr>
          <w:rFonts w:cs="Arial"/>
          <w:lang w:val="en-GB"/>
        </w:rPr>
        <w:t>–</w:t>
      </w:r>
      <w:r w:rsidR="009428F1" w:rsidRPr="009428F1">
        <w:rPr>
          <w:rFonts w:cs="Arial"/>
          <w:lang w:val="en-GB"/>
        </w:rPr>
        <w:t xml:space="preserve">71 GHz </w:t>
      </w:r>
      <w:r w:rsidR="00BB6523">
        <w:rPr>
          <w:rFonts w:cs="Arial"/>
          <w:lang w:val="en-GB"/>
        </w:rPr>
        <w:t>frequency range</w:t>
      </w:r>
      <w:r w:rsidR="00CB3319" w:rsidRPr="003C2819">
        <w:rPr>
          <w:rFonts w:cs="Arial"/>
          <w:lang w:val="en-GB"/>
        </w:rPr>
        <w:t xml:space="preserve">. </w:t>
      </w:r>
      <w:r w:rsidR="00775DFA">
        <w:rPr>
          <w:rFonts w:cs="Arial"/>
          <w:lang w:val="en-GB"/>
        </w:rPr>
        <w:t>As discussed in Section 3.1, larger</w:t>
      </w:r>
      <w:r w:rsidR="00CB3319" w:rsidRPr="003C2819">
        <w:rPr>
          <w:rFonts w:cs="Arial"/>
          <w:lang w:val="en-GB"/>
        </w:rPr>
        <w:t xml:space="preserve"> SCS for data and control signalling can </w:t>
      </w:r>
      <w:r w:rsidR="00F75D7B">
        <w:rPr>
          <w:rFonts w:cs="Arial"/>
          <w:lang w:val="en-GB"/>
        </w:rPr>
        <w:t xml:space="preserve">still </w:t>
      </w:r>
      <w:r w:rsidR="00CB3319" w:rsidRPr="003C2819">
        <w:rPr>
          <w:rFonts w:cs="Arial"/>
          <w:lang w:val="en-GB"/>
        </w:rPr>
        <w:t xml:space="preserve">be achieved by BWP switching </w:t>
      </w:r>
      <w:r w:rsidR="00775DFA">
        <w:rPr>
          <w:rFonts w:cs="Arial"/>
          <w:lang w:val="en-GB"/>
        </w:rPr>
        <w:t xml:space="preserve">or </w:t>
      </w:r>
      <w:proofErr w:type="spellStart"/>
      <w:r w:rsidR="00775DFA">
        <w:rPr>
          <w:rFonts w:cs="Arial"/>
          <w:lang w:val="en-GB"/>
        </w:rPr>
        <w:t>SCell</w:t>
      </w:r>
      <w:proofErr w:type="spellEnd"/>
      <w:r w:rsidR="00775DFA">
        <w:rPr>
          <w:rFonts w:cs="Arial"/>
          <w:lang w:val="en-GB"/>
        </w:rPr>
        <w:t xml:space="preserve"> activation </w:t>
      </w:r>
      <w:r w:rsidR="00CB3319" w:rsidRPr="003C2819">
        <w:rPr>
          <w:rFonts w:cs="Arial"/>
          <w:lang w:val="en-GB"/>
        </w:rPr>
        <w:t xml:space="preserve">in case higher peak data rates are needed and </w:t>
      </w:r>
      <w:r w:rsidR="00775DFA">
        <w:rPr>
          <w:rFonts w:cs="Arial"/>
          <w:lang w:val="en-GB"/>
        </w:rPr>
        <w:t>channel conditions are sufficiently good</w:t>
      </w:r>
      <w:r w:rsidR="00CB3319" w:rsidRPr="003C2819">
        <w:rPr>
          <w:rFonts w:cs="Arial"/>
          <w:lang w:val="en-GB"/>
        </w:rPr>
        <w:t>.</w:t>
      </w:r>
    </w:p>
    <w:p w14:paraId="3AB3FA70" w14:textId="7CC37A8A" w:rsidR="00CB3319" w:rsidRDefault="00EE1B21" w:rsidP="004F69A1">
      <w:pPr>
        <w:pStyle w:val="Proposal"/>
      </w:pPr>
      <w:bookmarkStart w:id="612" w:name="_Toc53655940"/>
      <w:bookmarkStart w:id="613" w:name="_Toc53740276"/>
      <w:bookmarkStart w:id="614" w:name="_Toc53740374"/>
      <w:bookmarkStart w:id="615" w:name="_Toc53740439"/>
      <w:bookmarkStart w:id="616" w:name="_Toc53740504"/>
      <w:bookmarkStart w:id="617" w:name="_Toc53740568"/>
      <w:bookmarkStart w:id="618" w:name="_Toc53774133"/>
      <w:bookmarkStart w:id="619" w:name="_Toc53776221"/>
      <w:bookmarkEnd w:id="612"/>
      <w:bookmarkEnd w:id="613"/>
      <w:bookmarkEnd w:id="614"/>
      <w:bookmarkEnd w:id="615"/>
      <w:bookmarkEnd w:id="616"/>
      <w:bookmarkEnd w:id="617"/>
      <w:bookmarkEnd w:id="618"/>
      <w:r>
        <w:t xml:space="preserve">Include the following Observation in TR 38.808. Maximum isotropic loss (MIL) and maximum coupling loss (MCL) degrade as the subcarrier spacing is increased, negatively impacting coverage. </w:t>
      </w:r>
      <w:r w:rsidR="00CB3319" w:rsidRPr="00CB3319">
        <w:t>PRACH 120</w:t>
      </w:r>
      <w:r w:rsidR="00341417">
        <w:t> </w:t>
      </w:r>
      <w:r w:rsidR="00CB3319" w:rsidRPr="00CB3319">
        <w:t xml:space="preserve">kHz </w:t>
      </w:r>
      <w:r w:rsidR="00F75D7B">
        <w:t xml:space="preserve">SCS </w:t>
      </w:r>
      <w:r w:rsidR="009428F1">
        <w:t>is</w:t>
      </w:r>
      <w:r w:rsidR="00CB3319" w:rsidRPr="00CB3319">
        <w:t xml:space="preserve"> </w:t>
      </w:r>
      <w:r w:rsidR="00F75D7B">
        <w:t xml:space="preserve">defined </w:t>
      </w:r>
      <w:r w:rsidR="00CB3319" w:rsidRPr="00CB3319">
        <w:t xml:space="preserve">for FR2 </w:t>
      </w:r>
      <w:r w:rsidR="00F75D7B">
        <w:t xml:space="preserve">already in Rel-15 </w:t>
      </w:r>
      <w:r w:rsidR="00CB3319" w:rsidRPr="00CB3319">
        <w:t xml:space="preserve">and </w:t>
      </w:r>
      <w:r w:rsidR="00F75D7B">
        <w:t xml:space="preserve">for the 52.6–71 GHz </w:t>
      </w:r>
      <w:r w:rsidR="00BB6523">
        <w:t xml:space="preserve">range </w:t>
      </w:r>
      <w:r w:rsidR="00CB3319" w:rsidRPr="00CB3319">
        <w:t xml:space="preserve">yields </w:t>
      </w:r>
      <w:r w:rsidR="00F75D7B">
        <w:rPr>
          <w:rFonts w:cs="Arial"/>
          <w:lang w:val="en-GB"/>
        </w:rPr>
        <w:t>4–</w:t>
      </w:r>
      <w:r w:rsidR="00F75D7B" w:rsidRPr="001F6F94">
        <w:rPr>
          <w:rFonts w:cs="Arial"/>
          <w:lang w:val="en-GB"/>
        </w:rPr>
        <w:t>5</w:t>
      </w:r>
      <w:r w:rsidR="00F75D7B">
        <w:rPr>
          <w:rFonts w:cs="Arial"/>
          <w:lang w:val="en-GB"/>
        </w:rPr>
        <w:t> </w:t>
      </w:r>
      <w:r w:rsidR="00F75D7B" w:rsidRPr="001F6F94">
        <w:rPr>
          <w:rFonts w:cs="Arial"/>
          <w:lang w:val="en-GB"/>
        </w:rPr>
        <w:t>dB</w:t>
      </w:r>
      <w:r w:rsidR="00F75D7B" w:rsidRPr="00CB3319">
        <w:t xml:space="preserve"> </w:t>
      </w:r>
      <w:r w:rsidR="00CB3319" w:rsidRPr="00CB3319">
        <w:t xml:space="preserve">better coverage than </w:t>
      </w:r>
      <w:r w:rsidR="00F75D7B">
        <w:t>480 kHz SCS and 8–9 dB better coverage than 960 kHz SCS</w:t>
      </w:r>
      <w:r w:rsidR="00CB3319">
        <w:t>.</w:t>
      </w:r>
      <w:bookmarkEnd w:id="619"/>
      <w:r w:rsidR="00F75D7B">
        <w:t xml:space="preserve"> </w:t>
      </w:r>
    </w:p>
    <w:p w14:paraId="6C3337F3" w14:textId="77777777" w:rsidR="00CB3319" w:rsidRDefault="00CB3319" w:rsidP="00CB3319">
      <w:pPr>
        <w:pStyle w:val="BodyText"/>
      </w:pPr>
    </w:p>
    <w:p w14:paraId="03F644BD" w14:textId="7240F5EB" w:rsidR="00CB3319" w:rsidRDefault="00606074" w:rsidP="00CB3319">
      <w:pPr>
        <w:pStyle w:val="Observation"/>
      </w:pPr>
      <w:bookmarkStart w:id="620" w:name="_Toc53775925"/>
      <w:r>
        <w:t>If PRACH uses 120 kHz SCS, d</w:t>
      </w:r>
      <w:r w:rsidR="00CB3319" w:rsidRPr="00CB3319">
        <w:t>ata transmission can still use higher subcarrier spacing</w:t>
      </w:r>
      <w:r w:rsidR="00F94076">
        <w:t>s</w:t>
      </w:r>
      <w:r w:rsidR="00CB3319" w:rsidRPr="00CB3319">
        <w:t xml:space="preserve"> through BWP switching</w:t>
      </w:r>
      <w:r w:rsidR="00CB3319">
        <w:t>.</w:t>
      </w:r>
      <w:bookmarkEnd w:id="620"/>
      <w:r w:rsidR="00CB3319">
        <w:t xml:space="preserve"> </w:t>
      </w:r>
    </w:p>
    <w:p w14:paraId="2E214516" w14:textId="77777777" w:rsidR="00CB3319" w:rsidRDefault="00CB3319" w:rsidP="00CB3319">
      <w:pPr>
        <w:pStyle w:val="BodyText"/>
      </w:pPr>
    </w:p>
    <w:p w14:paraId="4D642094" w14:textId="412726E4" w:rsidR="00CB3319" w:rsidRDefault="00F75D7B" w:rsidP="00CB3319">
      <w:pPr>
        <w:pStyle w:val="Proposal"/>
      </w:pPr>
      <w:r>
        <w:t> </w:t>
      </w:r>
      <w:bookmarkStart w:id="621" w:name="_Toc53776222"/>
      <w:r w:rsidR="00CB3319" w:rsidRPr="00CB3319">
        <w:t xml:space="preserve">Reuse </w:t>
      </w:r>
      <w:r w:rsidR="00EE1B21">
        <w:t xml:space="preserve">existing </w:t>
      </w:r>
      <w:r w:rsidR="00CB3319" w:rsidRPr="00CB3319">
        <w:t>FR2 PRACH subcarrier spacing</w:t>
      </w:r>
      <w:r w:rsidR="00EE1B21">
        <w:t xml:space="preserve"> of 120 kHz</w:t>
      </w:r>
      <w:r>
        <w:t xml:space="preserve"> for 52.6–71 GHz</w:t>
      </w:r>
      <w:r w:rsidR="00CB3319">
        <w:t>.</w:t>
      </w:r>
      <w:bookmarkEnd w:id="621"/>
    </w:p>
    <w:p w14:paraId="1542A177" w14:textId="77777777" w:rsidR="00CB3319" w:rsidRDefault="00CB3319" w:rsidP="00CB3319">
      <w:pPr>
        <w:pStyle w:val="BodyText"/>
      </w:pPr>
    </w:p>
    <w:p w14:paraId="2DB72229" w14:textId="3B821F72" w:rsidR="00835BAE" w:rsidRPr="001F6F94" w:rsidRDefault="008309D4" w:rsidP="00835BAE">
      <w:pPr>
        <w:rPr>
          <w:rFonts w:ascii="Arial" w:hAnsi="Arial" w:cs="Arial"/>
          <w:b/>
          <w:bCs/>
          <w:lang w:val="en-GB"/>
        </w:rPr>
      </w:pPr>
      <w:r>
        <w:rPr>
          <w:rFonts w:ascii="Arial" w:hAnsi="Arial" w:cs="Arial"/>
          <w:noProof/>
          <w:lang w:val="en-GB"/>
        </w:rPr>
        <w:lastRenderedPageBreak/>
        <w:drawing>
          <wp:inline distT="0" distB="0" distL="0" distR="0" wp14:anchorId="5932960F" wp14:editId="6E1CE210">
            <wp:extent cx="2961610" cy="2288540"/>
            <wp:effectExtent l="0" t="0" r="0" b="0"/>
            <wp:docPr id="1239340944" name="Picture 1239340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71739" cy="2296367"/>
                    </a:xfrm>
                    <a:prstGeom prst="rect">
                      <a:avLst/>
                    </a:prstGeom>
                    <a:noFill/>
                  </pic:spPr>
                </pic:pic>
              </a:graphicData>
            </a:graphic>
          </wp:inline>
        </w:drawing>
      </w:r>
      <w:r>
        <w:rPr>
          <w:rFonts w:ascii="Arial" w:hAnsi="Arial" w:cs="Arial"/>
          <w:noProof/>
          <w:lang w:val="en-GB"/>
        </w:rPr>
        <w:drawing>
          <wp:inline distT="0" distB="0" distL="0" distR="0" wp14:anchorId="4DC06F7D" wp14:editId="7DD8001E">
            <wp:extent cx="2943225" cy="2274333"/>
            <wp:effectExtent l="0" t="0" r="0" b="0"/>
            <wp:docPr id="1239340946" name="Picture 1239340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58125" cy="2285847"/>
                    </a:xfrm>
                    <a:prstGeom prst="rect">
                      <a:avLst/>
                    </a:prstGeom>
                    <a:noFill/>
                  </pic:spPr>
                </pic:pic>
              </a:graphicData>
            </a:graphic>
          </wp:inline>
        </w:drawing>
      </w:r>
      <w:r w:rsidR="00835BAE" w:rsidRPr="001F6F94">
        <w:rPr>
          <w:rFonts w:ascii="Arial" w:hAnsi="Arial" w:cs="Arial"/>
          <w:b/>
          <w:bCs/>
          <w:lang w:val="en-GB"/>
        </w:rPr>
        <w:tab/>
      </w:r>
      <w:r w:rsidR="00835BAE" w:rsidRPr="001F6F94">
        <w:rPr>
          <w:rFonts w:ascii="Arial" w:hAnsi="Arial" w:cs="Arial"/>
          <w:b/>
          <w:bCs/>
          <w:lang w:val="en-GB"/>
        </w:rPr>
        <w:tab/>
      </w:r>
      <w:r w:rsidR="00835BAE" w:rsidRPr="001F6F94">
        <w:rPr>
          <w:rFonts w:ascii="Arial" w:hAnsi="Arial" w:cs="Arial"/>
          <w:b/>
          <w:bCs/>
          <w:lang w:val="en-GB"/>
        </w:rPr>
        <w:tab/>
        <w:t>(a)</w:t>
      </w:r>
      <w:r w:rsidR="00835BAE" w:rsidRPr="001F6F94">
        <w:rPr>
          <w:rFonts w:ascii="Arial" w:hAnsi="Arial" w:cs="Arial"/>
          <w:b/>
          <w:bCs/>
          <w:lang w:val="en-GB"/>
        </w:rPr>
        <w:tab/>
      </w:r>
      <w:r w:rsidR="00835BAE" w:rsidRPr="001F6F94">
        <w:rPr>
          <w:rFonts w:ascii="Arial" w:hAnsi="Arial" w:cs="Arial"/>
          <w:b/>
          <w:bCs/>
          <w:lang w:val="en-GB"/>
        </w:rPr>
        <w:tab/>
      </w:r>
      <w:r w:rsidR="00835BAE" w:rsidRPr="001F6F94">
        <w:rPr>
          <w:rFonts w:ascii="Arial" w:hAnsi="Arial" w:cs="Arial"/>
          <w:b/>
          <w:bCs/>
          <w:lang w:val="en-GB"/>
        </w:rPr>
        <w:tab/>
      </w:r>
      <w:r w:rsidR="00835BAE" w:rsidRPr="001F6F94">
        <w:rPr>
          <w:rFonts w:ascii="Arial" w:hAnsi="Arial" w:cs="Arial"/>
          <w:b/>
          <w:bCs/>
          <w:lang w:val="en-GB"/>
        </w:rPr>
        <w:tab/>
      </w:r>
      <w:r w:rsidR="00835BAE" w:rsidRPr="001F6F94">
        <w:rPr>
          <w:rFonts w:ascii="Arial" w:hAnsi="Arial" w:cs="Arial"/>
          <w:b/>
          <w:bCs/>
          <w:lang w:val="en-GB"/>
        </w:rPr>
        <w:tab/>
      </w:r>
      <w:r w:rsidR="00835BAE" w:rsidRPr="001F6F94">
        <w:rPr>
          <w:rFonts w:ascii="Arial" w:hAnsi="Arial" w:cs="Arial"/>
          <w:b/>
          <w:bCs/>
          <w:lang w:val="en-GB"/>
        </w:rPr>
        <w:tab/>
      </w:r>
      <w:r w:rsidR="00835BAE" w:rsidRPr="001F6F94">
        <w:rPr>
          <w:rFonts w:ascii="Arial" w:hAnsi="Arial" w:cs="Arial"/>
          <w:b/>
          <w:bCs/>
          <w:lang w:val="en-GB"/>
        </w:rPr>
        <w:tab/>
        <w:t>(b)</w:t>
      </w:r>
    </w:p>
    <w:p w14:paraId="65A640AE" w14:textId="7F5D8586" w:rsidR="00835BAE" w:rsidRPr="00C41AB0" w:rsidRDefault="00835BAE" w:rsidP="00835BAE">
      <w:pPr>
        <w:rPr>
          <w:rFonts w:ascii="Arial" w:hAnsi="Arial" w:cs="Arial"/>
          <w:b/>
        </w:rPr>
      </w:pPr>
      <w:bookmarkStart w:id="622" w:name="_Ref53588805"/>
      <w:r w:rsidRPr="00757827">
        <w:rPr>
          <w:rFonts w:ascii="Arial" w:hAnsi="Arial" w:cs="Arial"/>
          <w:b/>
        </w:rPr>
        <w:t xml:space="preserve">Figure </w:t>
      </w:r>
      <w:r w:rsidRPr="00757827">
        <w:rPr>
          <w:rFonts w:ascii="Arial" w:hAnsi="Arial" w:cs="Arial"/>
          <w:b/>
        </w:rPr>
        <w:fldChar w:fldCharType="begin"/>
      </w:r>
      <w:r w:rsidRPr="007815C5">
        <w:rPr>
          <w:rFonts w:ascii="Arial" w:hAnsi="Arial" w:cs="Arial"/>
          <w:b/>
        </w:rPr>
        <w:instrText xml:space="preserve"> SEQ Figure \* ARABIC </w:instrText>
      </w:r>
      <w:r w:rsidRPr="00757827">
        <w:rPr>
          <w:rFonts w:ascii="Arial" w:hAnsi="Arial" w:cs="Arial"/>
          <w:b/>
        </w:rPr>
        <w:fldChar w:fldCharType="separate"/>
      </w:r>
      <w:r w:rsidR="00BE31F7">
        <w:rPr>
          <w:rFonts w:ascii="Arial" w:hAnsi="Arial" w:cs="Arial"/>
          <w:b/>
          <w:noProof/>
        </w:rPr>
        <w:t>40</w:t>
      </w:r>
      <w:r w:rsidRPr="00757827">
        <w:rPr>
          <w:rFonts w:ascii="Arial" w:hAnsi="Arial" w:cs="Arial"/>
          <w:b/>
        </w:rPr>
        <w:fldChar w:fldCharType="end"/>
      </w:r>
      <w:bookmarkEnd w:id="622"/>
      <w:r>
        <w:rPr>
          <w:rFonts w:ascii="Arial" w:hAnsi="Arial" w:cs="Arial"/>
          <w:b/>
          <w:bCs/>
        </w:rPr>
        <w:t>:</w:t>
      </w:r>
      <w:r w:rsidRPr="00757827">
        <w:rPr>
          <w:rFonts w:ascii="Arial" w:hAnsi="Arial" w:cs="Arial"/>
          <w:b/>
        </w:rPr>
        <w:t xml:space="preserve"> PRACH maximum isotropic loss for </w:t>
      </w:r>
      <w:r>
        <w:rPr>
          <w:rFonts w:ascii="Arial" w:hAnsi="Arial" w:cs="Arial"/>
          <w:b/>
        </w:rPr>
        <w:t xml:space="preserve">the case of </w:t>
      </w:r>
      <w:r w:rsidRPr="00757827">
        <w:rPr>
          <w:rFonts w:ascii="Arial" w:hAnsi="Arial" w:cs="Arial"/>
          <w:b/>
        </w:rPr>
        <w:t xml:space="preserve">delay spread </w:t>
      </w:r>
      <w:r>
        <w:rPr>
          <w:rFonts w:ascii="Arial" w:hAnsi="Arial" w:cs="Arial"/>
          <w:b/>
          <w:bCs/>
        </w:rPr>
        <w:t>2</w:t>
      </w:r>
      <w:r w:rsidRPr="00F8221D">
        <w:rPr>
          <w:rFonts w:ascii="Arial" w:hAnsi="Arial" w:cs="Arial"/>
          <w:b/>
        </w:rPr>
        <w:t>0</w:t>
      </w:r>
      <w:r>
        <w:rPr>
          <w:rFonts w:ascii="Arial" w:hAnsi="Arial" w:cs="Arial"/>
          <w:b/>
        </w:rPr>
        <w:t> </w:t>
      </w:r>
      <w:r w:rsidRPr="00F8221D">
        <w:rPr>
          <w:rFonts w:ascii="Arial" w:hAnsi="Arial" w:cs="Arial"/>
          <w:b/>
        </w:rPr>
        <w:t>ns</w:t>
      </w:r>
      <w:r>
        <w:rPr>
          <w:rFonts w:ascii="Arial" w:hAnsi="Arial" w:cs="Arial"/>
          <w:b/>
        </w:rPr>
        <w:t xml:space="preserve"> and </w:t>
      </w:r>
      <w:r>
        <w:rPr>
          <w:rFonts w:ascii="Arial" w:hAnsi="Arial" w:cs="Arial"/>
          <w:b/>
          <w:bCs/>
        </w:rPr>
        <w:t>maximum propagation round-trip time 380</w:t>
      </w:r>
      <w:r>
        <w:rPr>
          <w:rFonts w:ascii="Arial" w:hAnsi="Arial" w:cs="Arial"/>
          <w:b/>
        </w:rPr>
        <w:t> ns</w:t>
      </w:r>
      <w:r>
        <w:rPr>
          <w:rFonts w:ascii="Arial" w:hAnsi="Arial" w:cs="Arial"/>
          <w:b/>
          <w:bCs/>
        </w:rPr>
        <w:t xml:space="preserve"> (ISD 100 m), (a) with all transmit power limits considered, or (b) without considering UE-specific transmit power limits (but all other regulatory power limits</w:t>
      </w:r>
      <w:r w:rsidR="00EE1B21">
        <w:rPr>
          <w:rFonts w:ascii="Arial" w:hAnsi="Arial" w:cs="Arial"/>
          <w:b/>
          <w:bCs/>
        </w:rPr>
        <w:t xml:space="preserve"> still apply</w:t>
      </w:r>
      <w:r>
        <w:rPr>
          <w:rFonts w:ascii="Arial" w:hAnsi="Arial" w:cs="Arial"/>
          <w:b/>
          <w:bCs/>
        </w:rPr>
        <w:t>).</w:t>
      </w:r>
      <w:r w:rsidDel="00775DFA">
        <w:rPr>
          <w:rFonts w:ascii="Arial" w:hAnsi="Arial" w:cs="Arial"/>
          <w:b/>
          <w:bCs/>
        </w:rPr>
        <w:t xml:space="preserve"> </w:t>
      </w:r>
      <w:r w:rsidR="00A05DC1">
        <w:rPr>
          <w:rFonts w:ascii="Arial" w:hAnsi="Arial" w:cs="Arial"/>
          <w:b/>
          <w:bCs/>
        </w:rPr>
        <w:t>L is the PRACH sequence length.</w:t>
      </w:r>
    </w:p>
    <w:p w14:paraId="7DC5FD15" w14:textId="77777777" w:rsidR="00835BAE" w:rsidRDefault="00835BAE" w:rsidP="00CB3319">
      <w:pPr>
        <w:pStyle w:val="BodyText"/>
      </w:pPr>
    </w:p>
    <w:p w14:paraId="03BEDD44" w14:textId="177240A3" w:rsidR="00AF645E" w:rsidRPr="004F69A1" w:rsidRDefault="00AF645E" w:rsidP="00AF645E">
      <w:pPr>
        <w:pStyle w:val="BodyText"/>
        <w:rPr>
          <w:u w:val="single"/>
        </w:rPr>
      </w:pPr>
      <w:r>
        <w:rPr>
          <w:rFonts w:eastAsia="Batang"/>
          <w:b/>
          <w:bCs/>
          <w:color w:val="181818"/>
          <w:spacing w:val="-6"/>
          <w:kern w:val="20"/>
          <w:u w:val="single"/>
        </w:rPr>
        <w:t xml:space="preserve">PRACH </w:t>
      </w:r>
      <w:r w:rsidRPr="00EE1B21">
        <w:rPr>
          <w:rFonts w:eastAsia="Batang"/>
          <w:b/>
          <w:bCs/>
          <w:color w:val="181818"/>
          <w:spacing w:val="-6"/>
          <w:kern w:val="20"/>
          <w:u w:val="single"/>
        </w:rPr>
        <w:t>sequence length</w:t>
      </w:r>
    </w:p>
    <w:p w14:paraId="4E2FDF22" w14:textId="14C1A780" w:rsidR="00CB3319" w:rsidRPr="003C2819" w:rsidRDefault="00F75D7B" w:rsidP="004F69A1">
      <w:pPr>
        <w:pStyle w:val="BodyText"/>
        <w:rPr>
          <w:rFonts w:cs="Arial"/>
          <w:lang w:val="en-GB"/>
        </w:rPr>
      </w:pPr>
      <w:r w:rsidRPr="004F69A1">
        <w:t>From</w:t>
      </w:r>
      <w:r w:rsidR="00CB3319" w:rsidRPr="00EE1B21">
        <w:rPr>
          <w:rFonts w:cs="Arial"/>
          <w:lang w:val="en-GB"/>
        </w:rPr>
        <w:t xml:space="preserve"> panel (a) of </w:t>
      </w:r>
      <w:r w:rsidR="00EE1B21" w:rsidRPr="00E5446B">
        <w:rPr>
          <w:rFonts w:cs="Arial"/>
          <w:lang w:val="en-GB"/>
        </w:rPr>
        <w:fldChar w:fldCharType="begin"/>
      </w:r>
      <w:r w:rsidR="00EE1B21" w:rsidRPr="00EE1B21">
        <w:rPr>
          <w:rFonts w:cs="Arial"/>
          <w:lang w:val="en-GB"/>
        </w:rPr>
        <w:instrText xml:space="preserve"> REF _Ref53588805 \h  \* MERGEFORMAT </w:instrText>
      </w:r>
      <w:r w:rsidR="00EE1B21" w:rsidRPr="00E5446B">
        <w:rPr>
          <w:rFonts w:cs="Arial"/>
          <w:lang w:val="en-GB"/>
        </w:rPr>
      </w:r>
      <w:r w:rsidR="00EE1B21" w:rsidRPr="00E5446B">
        <w:rPr>
          <w:rFonts w:cs="Arial"/>
          <w:lang w:val="en-GB"/>
        </w:rPr>
        <w:fldChar w:fldCharType="separate"/>
      </w:r>
      <w:r w:rsidR="00BE31F7" w:rsidRPr="00BE31F7">
        <w:rPr>
          <w:rFonts w:cs="Arial"/>
        </w:rPr>
        <w:t>Figure 40</w:t>
      </w:r>
      <w:r w:rsidR="00EE1B21" w:rsidRPr="00E5446B">
        <w:rPr>
          <w:rFonts w:cs="Arial"/>
          <w:lang w:val="en-GB"/>
        </w:rPr>
        <w:fldChar w:fldCharType="end"/>
      </w:r>
      <w:r w:rsidR="00CB3319" w:rsidRPr="00EE1B21">
        <w:rPr>
          <w:rFonts w:cs="Arial"/>
          <w:lang w:val="en-GB"/>
        </w:rPr>
        <w:t xml:space="preserve"> </w:t>
      </w:r>
      <w:r w:rsidRPr="00EE1B21">
        <w:rPr>
          <w:rFonts w:cs="Arial"/>
          <w:lang w:val="en-GB"/>
        </w:rPr>
        <w:t xml:space="preserve">it is clear that </w:t>
      </w:r>
      <w:r w:rsidR="00CB3319" w:rsidRPr="00EE1B21">
        <w:rPr>
          <w:rFonts w:cs="Arial"/>
          <w:lang w:val="en-GB"/>
        </w:rPr>
        <w:t xml:space="preserve">a sequence length </w:t>
      </w:r>
      <w:r w:rsidR="00CB3319" w:rsidRPr="00EE1B21">
        <w:rPr>
          <w:rFonts w:cs="Arial"/>
          <w:i/>
          <w:lang w:val="en-GB"/>
        </w:rPr>
        <w:t>L</w:t>
      </w:r>
      <w:r w:rsidR="00CB3319" w:rsidRPr="00EE1B21">
        <w:rPr>
          <w:rFonts w:cs="Arial"/>
          <w:lang w:val="en-GB"/>
        </w:rPr>
        <w:t xml:space="preserve"> = 139 is sufficient for </w:t>
      </w:r>
      <w:r w:rsidR="00EE1B21">
        <w:rPr>
          <w:rFonts w:cs="Arial"/>
          <w:lang w:val="en-GB"/>
        </w:rPr>
        <w:t>ensuring coverage</w:t>
      </w:r>
      <w:r w:rsidR="00434B56" w:rsidRPr="00EE1B21">
        <w:rPr>
          <w:rFonts w:cs="Arial"/>
          <w:lang w:val="en-GB"/>
        </w:rPr>
        <w:t xml:space="preserve"> under the considered assumptions</w:t>
      </w:r>
      <w:r w:rsidR="00CB3319" w:rsidRPr="00EE1B21">
        <w:rPr>
          <w:rFonts w:cs="Arial"/>
          <w:lang w:val="en-GB"/>
        </w:rPr>
        <w:t xml:space="preserve">. </w:t>
      </w:r>
      <w:r w:rsidR="00434B56" w:rsidRPr="00EE1B21">
        <w:rPr>
          <w:rFonts w:cs="Arial"/>
          <w:lang w:val="en-GB"/>
        </w:rPr>
        <w:t xml:space="preserve">However, </w:t>
      </w:r>
      <w:r w:rsidR="00EE1B21">
        <w:rPr>
          <w:rFonts w:cs="Arial"/>
          <w:lang w:val="en-GB"/>
        </w:rPr>
        <w:t>it is important to point out that in this evaluation, we assumed that</w:t>
      </w:r>
      <w:r w:rsidR="00CB3319" w:rsidRPr="00EE1B21">
        <w:rPr>
          <w:rFonts w:cs="Arial"/>
          <w:lang w:val="en-GB"/>
        </w:rPr>
        <w:t xml:space="preserve"> </w:t>
      </w:r>
      <w:r w:rsidR="00434B56" w:rsidRPr="00EE1B21">
        <w:rPr>
          <w:rFonts w:cs="Arial"/>
          <w:lang w:val="en-GB"/>
        </w:rPr>
        <w:t xml:space="preserve">the </w:t>
      </w:r>
      <w:r w:rsidR="00CB3319" w:rsidRPr="00EE1B21">
        <w:rPr>
          <w:rFonts w:cs="Arial"/>
          <w:lang w:val="en-GB"/>
        </w:rPr>
        <w:t>transmit power is limited primarily by the UE-specific EIRP limit of 25</w:t>
      </w:r>
      <w:r w:rsidR="00341417">
        <w:rPr>
          <w:rFonts w:cs="Arial"/>
          <w:lang w:val="en-GB"/>
        </w:rPr>
        <w:t> </w:t>
      </w:r>
      <w:r w:rsidR="00CB3319" w:rsidRPr="00EE1B21">
        <w:rPr>
          <w:rFonts w:cs="Arial"/>
          <w:lang w:val="en-GB"/>
        </w:rPr>
        <w:t>dBm</w:t>
      </w:r>
      <w:r w:rsidR="00EE1B21">
        <w:rPr>
          <w:rFonts w:cs="Arial"/>
          <w:lang w:val="en-GB"/>
        </w:rPr>
        <w:t xml:space="preserve">. We further assumed that this limit </w:t>
      </w:r>
      <w:r w:rsidR="00CB3319" w:rsidRPr="00EE1B21">
        <w:rPr>
          <w:rFonts w:cs="Arial"/>
          <w:lang w:val="en-GB"/>
        </w:rPr>
        <w:t xml:space="preserve">is independent of </w:t>
      </w:r>
      <w:r w:rsidR="00EE1B21">
        <w:rPr>
          <w:rFonts w:cs="Arial"/>
          <w:lang w:val="en-GB"/>
        </w:rPr>
        <w:t xml:space="preserve">the </w:t>
      </w:r>
      <w:r w:rsidR="00CB3319" w:rsidRPr="00EE1B21">
        <w:rPr>
          <w:rFonts w:cs="Arial"/>
          <w:lang w:val="en-GB"/>
        </w:rPr>
        <w:t>used bandwidth</w:t>
      </w:r>
      <w:r w:rsidR="00EE1B21">
        <w:rPr>
          <w:rFonts w:cs="Arial"/>
          <w:lang w:val="en-GB"/>
        </w:rPr>
        <w:t>,</w:t>
      </w:r>
      <w:r w:rsidR="00CB3319" w:rsidRPr="00EE1B21">
        <w:rPr>
          <w:rFonts w:cs="Arial"/>
          <w:lang w:val="en-GB"/>
        </w:rPr>
        <w:t xml:space="preserve"> and hence increas</w:t>
      </w:r>
      <w:r w:rsidR="00434B56" w:rsidRPr="00EE1B21">
        <w:rPr>
          <w:rFonts w:cs="Arial"/>
          <w:lang w:val="en-GB"/>
        </w:rPr>
        <w:t>ing the</w:t>
      </w:r>
      <w:r w:rsidR="00CB3319" w:rsidRPr="00EE1B21">
        <w:rPr>
          <w:rFonts w:cs="Arial"/>
          <w:lang w:val="en-GB"/>
        </w:rPr>
        <w:t xml:space="preserve"> sequence length and thereby </w:t>
      </w:r>
      <w:r w:rsidR="00434B56" w:rsidRPr="00EE1B21">
        <w:rPr>
          <w:rFonts w:cs="Arial"/>
          <w:lang w:val="en-GB"/>
        </w:rPr>
        <w:t xml:space="preserve">the </w:t>
      </w:r>
      <w:r w:rsidR="00CB3319" w:rsidRPr="00EE1B21">
        <w:rPr>
          <w:rFonts w:cs="Arial"/>
          <w:lang w:val="en-GB"/>
        </w:rPr>
        <w:t xml:space="preserve">used bandwidth does not increase the transmit power. </w:t>
      </w:r>
      <w:r w:rsidR="00434B56" w:rsidRPr="00EE1B21">
        <w:rPr>
          <w:rFonts w:cs="Arial"/>
          <w:lang w:val="en-GB"/>
        </w:rPr>
        <w:t>On the other hand</w:t>
      </w:r>
      <w:r w:rsidR="00CB3319" w:rsidRPr="00EE1B21">
        <w:rPr>
          <w:rFonts w:cs="Arial"/>
          <w:lang w:val="en-GB"/>
        </w:rPr>
        <w:t xml:space="preserve">, if </w:t>
      </w:r>
      <w:r w:rsidR="00EE1B21">
        <w:rPr>
          <w:rFonts w:cs="Arial"/>
          <w:lang w:val="en-GB"/>
        </w:rPr>
        <w:t>a larger</w:t>
      </w:r>
      <w:r w:rsidR="00EE1B21" w:rsidRPr="00EE1B21">
        <w:rPr>
          <w:rFonts w:cs="Arial"/>
          <w:lang w:val="en-GB"/>
        </w:rPr>
        <w:t xml:space="preserve"> </w:t>
      </w:r>
      <w:r w:rsidR="00CB3319" w:rsidRPr="00EE1B21">
        <w:rPr>
          <w:rFonts w:cs="Arial"/>
          <w:lang w:val="en-GB"/>
        </w:rPr>
        <w:t xml:space="preserve">EIRP limit is </w:t>
      </w:r>
      <w:r w:rsidR="00EE1B21">
        <w:rPr>
          <w:rFonts w:cs="Arial"/>
          <w:lang w:val="en-GB"/>
        </w:rPr>
        <w:t>allowed</w:t>
      </w:r>
      <w:r w:rsidR="00BE31F7">
        <w:rPr>
          <w:rFonts w:cs="Arial"/>
          <w:lang w:val="en-GB"/>
        </w:rPr>
        <w:t xml:space="preserve"> or is feasible</w:t>
      </w:r>
      <w:r w:rsidR="00CB3319" w:rsidRPr="00EE1B21">
        <w:rPr>
          <w:rFonts w:cs="Arial"/>
          <w:lang w:val="en-GB"/>
        </w:rPr>
        <w:t>, or if a lower antenna gain is used, regulatory limits that do depend on used bandwidth (e.g. FCC limits) may become limiting</w:t>
      </w:r>
      <w:r w:rsidR="00EE1B21">
        <w:rPr>
          <w:rFonts w:cs="Arial"/>
          <w:lang w:val="en-GB"/>
        </w:rPr>
        <w:t xml:space="preserve">. In this case </w:t>
      </w:r>
      <w:r w:rsidR="00CB3319" w:rsidRPr="00EE1B21">
        <w:rPr>
          <w:rFonts w:cs="Arial"/>
          <w:lang w:val="en-GB"/>
        </w:rPr>
        <w:t xml:space="preserve">a longer sequence length </w:t>
      </w:r>
      <w:r w:rsidR="003E7250" w:rsidRPr="00EE1B21">
        <w:rPr>
          <w:rFonts w:cs="Arial"/>
          <w:lang w:val="en-GB"/>
        </w:rPr>
        <w:t>can</w:t>
      </w:r>
      <w:r w:rsidR="00434B56" w:rsidRPr="00EE1B21">
        <w:rPr>
          <w:rFonts w:cs="Arial"/>
          <w:lang w:val="en-GB"/>
        </w:rPr>
        <w:t xml:space="preserve"> </w:t>
      </w:r>
      <w:r w:rsidR="00CB3319" w:rsidRPr="00EE1B21">
        <w:rPr>
          <w:rFonts w:cs="Arial"/>
          <w:lang w:val="en-GB"/>
        </w:rPr>
        <w:t xml:space="preserve">lead to larger maximum transmit power and larger MIL. This is illustrated in panel (b) of </w:t>
      </w:r>
      <w:r w:rsidR="00EE1B21" w:rsidRPr="00E5446B">
        <w:rPr>
          <w:rFonts w:cs="Arial"/>
          <w:lang w:val="en-GB"/>
        </w:rPr>
        <w:fldChar w:fldCharType="begin"/>
      </w:r>
      <w:r w:rsidR="00EE1B21" w:rsidRPr="00EE1B21">
        <w:rPr>
          <w:rFonts w:cs="Arial"/>
          <w:lang w:val="en-GB"/>
        </w:rPr>
        <w:instrText xml:space="preserve"> REF _Ref53588805 \h  \* MERGEFORMAT </w:instrText>
      </w:r>
      <w:r w:rsidR="00EE1B21" w:rsidRPr="00E5446B">
        <w:rPr>
          <w:rFonts w:cs="Arial"/>
          <w:lang w:val="en-GB"/>
        </w:rPr>
      </w:r>
      <w:r w:rsidR="00EE1B21" w:rsidRPr="00E5446B">
        <w:rPr>
          <w:rFonts w:cs="Arial"/>
          <w:lang w:val="en-GB"/>
        </w:rPr>
        <w:fldChar w:fldCharType="separate"/>
      </w:r>
      <w:r w:rsidR="00BE31F7" w:rsidRPr="00BE31F7">
        <w:rPr>
          <w:rFonts w:cs="Arial"/>
        </w:rPr>
        <w:t>Figure 40</w:t>
      </w:r>
      <w:r w:rsidR="00EE1B21" w:rsidRPr="00E5446B">
        <w:rPr>
          <w:rFonts w:cs="Arial"/>
          <w:lang w:val="en-GB"/>
        </w:rPr>
        <w:fldChar w:fldCharType="end"/>
      </w:r>
      <w:r w:rsidR="00CB3319" w:rsidRPr="00EE1B21">
        <w:rPr>
          <w:rFonts w:cs="Arial"/>
          <w:lang w:val="en-GB"/>
        </w:rPr>
        <w:t>, where</w:t>
      </w:r>
      <w:r w:rsidR="00CB3319" w:rsidRPr="003C2819">
        <w:rPr>
          <w:rFonts w:cs="Arial"/>
          <w:lang w:val="en-GB"/>
        </w:rPr>
        <w:t xml:space="preserve"> the UE-specific limit for EIRP (25</w:t>
      </w:r>
      <w:r w:rsidR="00341417">
        <w:rPr>
          <w:rFonts w:cs="Arial"/>
          <w:lang w:val="en-GB"/>
        </w:rPr>
        <w:t> </w:t>
      </w:r>
      <w:r w:rsidR="00CB3319" w:rsidRPr="003C2819">
        <w:rPr>
          <w:rFonts w:cs="Arial"/>
          <w:lang w:val="en-GB"/>
        </w:rPr>
        <w:t>dBm)</w:t>
      </w:r>
      <w:r w:rsidR="00434B56">
        <w:rPr>
          <w:rFonts w:cs="Arial"/>
          <w:lang w:val="en-GB"/>
        </w:rPr>
        <w:t xml:space="preserve"> and the</w:t>
      </w:r>
      <w:r w:rsidR="00CB3319" w:rsidRPr="003C2819">
        <w:rPr>
          <w:rFonts w:cs="Arial"/>
          <w:lang w:val="en-GB"/>
        </w:rPr>
        <w:t xml:space="preserve"> </w:t>
      </w:r>
      <w:r w:rsidR="00434B56">
        <w:rPr>
          <w:rFonts w:cs="Arial"/>
          <w:lang w:val="en-GB"/>
        </w:rPr>
        <w:t xml:space="preserve">UE-specific limit </w:t>
      </w:r>
      <w:r w:rsidR="006B4DC8">
        <w:rPr>
          <w:rFonts w:cs="Arial"/>
          <w:lang w:val="en-GB"/>
        </w:rPr>
        <w:t>for</w:t>
      </w:r>
      <w:r w:rsidR="00434B56">
        <w:rPr>
          <w:rFonts w:cs="Arial"/>
          <w:lang w:val="en-GB"/>
        </w:rPr>
        <w:t xml:space="preserve"> </w:t>
      </w:r>
      <w:r w:rsidR="00CB3319" w:rsidRPr="003C2819">
        <w:rPr>
          <w:rFonts w:cs="Arial"/>
          <w:lang w:val="en-GB"/>
        </w:rPr>
        <w:t>conducted power (21</w:t>
      </w:r>
      <w:r w:rsidR="00341417">
        <w:rPr>
          <w:rFonts w:cs="Arial"/>
          <w:lang w:val="en-GB"/>
        </w:rPr>
        <w:t> </w:t>
      </w:r>
      <w:r w:rsidR="00CB3319" w:rsidRPr="003C2819">
        <w:rPr>
          <w:rFonts w:cs="Arial"/>
          <w:lang w:val="en-GB"/>
        </w:rPr>
        <w:t xml:space="preserve">dBm) </w:t>
      </w:r>
      <w:r w:rsidR="00434B56">
        <w:rPr>
          <w:rFonts w:cs="Arial"/>
          <w:lang w:val="en-GB"/>
        </w:rPr>
        <w:t>are</w:t>
      </w:r>
      <w:r w:rsidR="00CB3319" w:rsidRPr="003C2819">
        <w:rPr>
          <w:rFonts w:cs="Arial"/>
          <w:lang w:val="en-GB"/>
        </w:rPr>
        <w:t xml:space="preserve"> not considered (</w:t>
      </w:r>
      <w:r w:rsidR="00434B56">
        <w:rPr>
          <w:rFonts w:cs="Arial"/>
          <w:lang w:val="en-GB"/>
        </w:rPr>
        <w:t xml:space="preserve">while </w:t>
      </w:r>
      <w:r w:rsidR="00CB3319" w:rsidRPr="003C2819">
        <w:rPr>
          <w:rFonts w:cs="Arial"/>
          <w:lang w:val="en-GB"/>
        </w:rPr>
        <w:t>other</w:t>
      </w:r>
      <w:r w:rsidR="00434B56">
        <w:rPr>
          <w:rFonts w:cs="Arial"/>
          <w:lang w:val="en-GB"/>
        </w:rPr>
        <w:t>,</w:t>
      </w:r>
      <w:r w:rsidR="00CB3319" w:rsidRPr="003C2819">
        <w:rPr>
          <w:rFonts w:cs="Arial"/>
          <w:lang w:val="en-GB"/>
        </w:rPr>
        <w:t xml:space="preserve"> regulatory limits</w:t>
      </w:r>
      <w:r w:rsidR="00BB6523">
        <w:rPr>
          <w:rFonts w:cs="Arial"/>
          <w:lang w:val="en-GB"/>
        </w:rPr>
        <w:t xml:space="preserve"> are still adhered to</w:t>
      </w:r>
      <w:r w:rsidR="00CB3319" w:rsidRPr="003C2819">
        <w:rPr>
          <w:rFonts w:cs="Arial"/>
          <w:lang w:val="en-GB"/>
        </w:rPr>
        <w:t xml:space="preserve">). </w:t>
      </w:r>
      <w:r w:rsidR="00434B56">
        <w:rPr>
          <w:rFonts w:cs="Arial"/>
          <w:lang w:val="en-GB"/>
        </w:rPr>
        <w:t xml:space="preserve">A longer sequence length then gives a gain of </w:t>
      </w:r>
      <w:r w:rsidR="00CB3319" w:rsidRPr="003C2819">
        <w:rPr>
          <w:rFonts w:cs="Arial"/>
          <w:lang w:val="en-GB"/>
        </w:rPr>
        <w:t xml:space="preserve">several </w:t>
      </w:r>
      <w:proofErr w:type="spellStart"/>
      <w:r w:rsidR="00CB3319" w:rsidRPr="003C2819">
        <w:rPr>
          <w:rFonts w:cs="Arial"/>
          <w:lang w:val="en-GB"/>
        </w:rPr>
        <w:t>dB.</w:t>
      </w:r>
      <w:proofErr w:type="spellEnd"/>
      <w:r w:rsidR="00CB3319" w:rsidRPr="003C2819">
        <w:rPr>
          <w:rFonts w:cs="Arial"/>
          <w:lang w:val="en-GB"/>
        </w:rPr>
        <w:t xml:space="preserve"> This motivates support</w:t>
      </w:r>
      <w:r w:rsidR="00341417">
        <w:rPr>
          <w:rFonts w:cs="Arial"/>
          <w:lang w:val="en-GB"/>
        </w:rPr>
        <w:t xml:space="preserve">ing </w:t>
      </w:r>
      <w:r w:rsidR="00CB3319" w:rsidRPr="003C2819">
        <w:rPr>
          <w:rFonts w:cs="Arial"/>
          <w:i/>
          <w:iCs/>
          <w:lang w:val="en-GB"/>
        </w:rPr>
        <w:t>L</w:t>
      </w:r>
      <w:r w:rsidR="00CB3319" w:rsidRPr="003C2819">
        <w:rPr>
          <w:rFonts w:cs="Arial"/>
          <w:lang w:val="en-GB"/>
        </w:rPr>
        <w:t xml:space="preserve"> = 571/1151</w:t>
      </w:r>
      <w:r w:rsidR="00434B56">
        <w:rPr>
          <w:rFonts w:cs="Arial"/>
          <w:lang w:val="en-GB"/>
        </w:rPr>
        <w:t xml:space="preserve">, as defined </w:t>
      </w:r>
      <w:r w:rsidR="00341417">
        <w:rPr>
          <w:rFonts w:cs="Arial"/>
          <w:lang w:val="en-GB"/>
        </w:rPr>
        <w:t>for</w:t>
      </w:r>
      <w:r w:rsidR="00CB3319" w:rsidRPr="003C2819">
        <w:rPr>
          <w:rFonts w:cs="Arial"/>
          <w:lang w:val="en-GB"/>
        </w:rPr>
        <w:t xml:space="preserve"> FR2</w:t>
      </w:r>
      <w:r w:rsidR="00341417">
        <w:rPr>
          <w:rFonts w:cs="Arial"/>
          <w:lang w:val="en-GB"/>
        </w:rPr>
        <w:t xml:space="preserve"> </w:t>
      </w:r>
      <w:r w:rsidR="00BB6523">
        <w:rPr>
          <w:rFonts w:cs="Arial"/>
          <w:lang w:val="en-GB"/>
        </w:rPr>
        <w:t xml:space="preserve">already </w:t>
      </w:r>
      <w:r w:rsidR="00434B56">
        <w:rPr>
          <w:rFonts w:cs="Arial"/>
          <w:lang w:val="en-GB"/>
        </w:rPr>
        <w:t xml:space="preserve">in Rel-16, </w:t>
      </w:r>
      <w:r w:rsidR="00341417">
        <w:rPr>
          <w:rFonts w:cs="Arial"/>
          <w:lang w:val="en-GB"/>
        </w:rPr>
        <w:t xml:space="preserve">also for NR operations in </w:t>
      </w:r>
      <w:r w:rsidR="00AF6D25">
        <w:rPr>
          <w:rFonts w:cs="Arial"/>
          <w:lang w:val="en-GB"/>
        </w:rPr>
        <w:t xml:space="preserve">the </w:t>
      </w:r>
      <w:r w:rsidR="00341417">
        <w:rPr>
          <w:rFonts w:cs="Arial"/>
          <w:lang w:val="en-GB"/>
        </w:rPr>
        <w:t>52.6</w:t>
      </w:r>
      <w:r w:rsidR="00BB6523">
        <w:rPr>
          <w:rFonts w:cs="Arial"/>
          <w:lang w:val="en-GB"/>
        </w:rPr>
        <w:t>–</w:t>
      </w:r>
      <w:r w:rsidR="00341417">
        <w:rPr>
          <w:rFonts w:cs="Arial"/>
          <w:lang w:val="en-GB"/>
        </w:rPr>
        <w:t>71 GHz</w:t>
      </w:r>
      <w:r w:rsidR="00BB6523">
        <w:rPr>
          <w:rFonts w:cs="Arial"/>
          <w:lang w:val="en-GB"/>
        </w:rPr>
        <w:t xml:space="preserve"> frequency range</w:t>
      </w:r>
      <w:r w:rsidR="00CB3319" w:rsidRPr="003C2819">
        <w:rPr>
          <w:rFonts w:cs="Arial"/>
          <w:lang w:val="en-GB"/>
        </w:rPr>
        <w:t>.</w:t>
      </w:r>
    </w:p>
    <w:p w14:paraId="711CB9EC" w14:textId="77777777" w:rsidR="00CB3319" w:rsidRDefault="00CB3319" w:rsidP="00CB3319">
      <w:pPr>
        <w:pStyle w:val="BodyText"/>
      </w:pPr>
    </w:p>
    <w:p w14:paraId="1C4EC11B" w14:textId="15214D72" w:rsidR="008018CB" w:rsidRPr="00E5446B" w:rsidRDefault="008018CB" w:rsidP="004F69A1">
      <w:pPr>
        <w:pStyle w:val="Proposal"/>
      </w:pPr>
      <w:bookmarkStart w:id="623" w:name="_Toc53776223"/>
      <w:r>
        <w:t>Include the following observation in TR 38.808: For operation in the 52.6 – 71 GHz band, it is beneficial to support all existing Rel-15/16 sequence lengths L = 139/571/1151 to allow for larger transmit powers in some scenarios depending on the assumed beamforming gain, regulatory regime, and UE power limits.</w:t>
      </w:r>
      <w:bookmarkEnd w:id="623"/>
    </w:p>
    <w:p w14:paraId="6D9AF9EB" w14:textId="77777777" w:rsidR="00CB3319" w:rsidRDefault="00CB3319" w:rsidP="00CB3319">
      <w:pPr>
        <w:pStyle w:val="BodyText"/>
      </w:pPr>
    </w:p>
    <w:p w14:paraId="6D728D7A" w14:textId="43734C74" w:rsidR="00CB3319" w:rsidRDefault="00CB3319" w:rsidP="00CB3319">
      <w:pPr>
        <w:pStyle w:val="Proposal"/>
      </w:pPr>
      <w:bookmarkStart w:id="624" w:name="_Toc53776224"/>
      <w:r w:rsidRPr="00CB3319">
        <w:t xml:space="preserve">Support </w:t>
      </w:r>
      <w:r w:rsidR="0094550E">
        <w:rPr>
          <w:iCs/>
        </w:rPr>
        <w:t xml:space="preserve">PRACH with </w:t>
      </w:r>
      <w:r w:rsidR="00364E3E">
        <w:rPr>
          <w:iCs/>
        </w:rPr>
        <w:t>sequence lengths</w:t>
      </w:r>
      <w:r w:rsidR="0094550E">
        <w:rPr>
          <w:iCs/>
        </w:rPr>
        <w:t xml:space="preserve"> </w:t>
      </w:r>
      <w:r w:rsidRPr="003C2819">
        <w:rPr>
          <w:i/>
          <w:iCs/>
        </w:rPr>
        <w:t>L</w:t>
      </w:r>
      <w:r w:rsidRPr="00CB3319">
        <w:t xml:space="preserve"> = </w:t>
      </w:r>
      <w:r w:rsidR="008018CB">
        <w:t>139/</w:t>
      </w:r>
      <w:r w:rsidRPr="00CB3319">
        <w:t>571/1151</w:t>
      </w:r>
      <w:r w:rsidR="00434B56">
        <w:t xml:space="preserve"> (</w:t>
      </w:r>
      <w:r w:rsidRPr="00CB3319">
        <w:t xml:space="preserve">as </w:t>
      </w:r>
      <w:r w:rsidR="00434B56">
        <w:t xml:space="preserve">defined </w:t>
      </w:r>
      <w:r w:rsidRPr="00CB3319">
        <w:t>for FR2 in Rel-</w:t>
      </w:r>
      <w:r w:rsidR="008018CB">
        <w:t>15/</w:t>
      </w:r>
      <w:r w:rsidRPr="00CB3319">
        <w:t>1</w:t>
      </w:r>
      <w:r w:rsidR="00434B56">
        <w:t>6) for 52.6–71 GHz</w:t>
      </w:r>
      <w:r>
        <w:t>.</w:t>
      </w:r>
      <w:bookmarkEnd w:id="624"/>
    </w:p>
    <w:p w14:paraId="5EAA6ABE" w14:textId="77777777" w:rsidR="00CB3319" w:rsidRDefault="00CB3319" w:rsidP="00CB3319">
      <w:pPr>
        <w:pStyle w:val="BodyText"/>
      </w:pPr>
    </w:p>
    <w:p w14:paraId="322C444A" w14:textId="0686E24B" w:rsidR="00AF645E" w:rsidRPr="003C2819" w:rsidRDefault="00AF645E" w:rsidP="003C2819">
      <w:pPr>
        <w:pStyle w:val="BodyText"/>
        <w:rPr>
          <w:b/>
          <w:bCs/>
          <w:u w:val="single"/>
        </w:rPr>
      </w:pPr>
      <w:r>
        <w:rPr>
          <w:rFonts w:eastAsia="Batang"/>
          <w:b/>
          <w:bCs/>
          <w:color w:val="181818"/>
          <w:spacing w:val="-6"/>
          <w:kern w:val="20"/>
          <w:u w:val="single"/>
        </w:rPr>
        <w:t>PRACH configurations and LBT gap</w:t>
      </w:r>
      <w:r w:rsidR="00037093">
        <w:rPr>
          <w:rFonts w:eastAsia="Batang"/>
          <w:b/>
          <w:bCs/>
          <w:color w:val="181818"/>
          <w:spacing w:val="-6"/>
          <w:kern w:val="20"/>
          <w:u w:val="single"/>
        </w:rPr>
        <w:t>s</w:t>
      </w:r>
    </w:p>
    <w:p w14:paraId="7C64E867" w14:textId="5A8871AB" w:rsidR="00CB3319" w:rsidRPr="003C2819" w:rsidRDefault="00CB3319" w:rsidP="004F69A1">
      <w:pPr>
        <w:pStyle w:val="BodyText"/>
        <w:rPr>
          <w:rFonts w:cs="Arial"/>
          <w:lang w:val="en-GB"/>
        </w:rPr>
      </w:pPr>
      <w:r w:rsidRPr="004F69A1">
        <w:t xml:space="preserve">Since it is </w:t>
      </w:r>
      <w:proofErr w:type="spellStart"/>
      <w:r w:rsidRPr="004F69A1">
        <w:t>propos</w:t>
      </w:r>
      <w:proofErr w:type="spellEnd"/>
      <w:r w:rsidRPr="003C2819">
        <w:rPr>
          <w:rFonts w:cs="Arial"/>
          <w:lang w:val="en-GB"/>
        </w:rPr>
        <w:t xml:space="preserve">ed to reuse FR2 initial access design, including PRACH SCSs, </w:t>
      </w:r>
      <w:r w:rsidR="00022603">
        <w:rPr>
          <w:rFonts w:cs="Arial"/>
          <w:lang w:val="en-GB"/>
        </w:rPr>
        <w:t>one can reuse the FR2 PRACH configuration tables without modifications</w:t>
      </w:r>
      <w:r w:rsidRPr="003C2819">
        <w:rPr>
          <w:rFonts w:cs="Arial"/>
          <w:lang w:val="en-GB"/>
        </w:rPr>
        <w:t>.</w:t>
      </w:r>
      <w:r w:rsidR="00022603">
        <w:rPr>
          <w:rFonts w:cs="Arial"/>
          <w:lang w:val="en-GB"/>
        </w:rPr>
        <w:t xml:space="preserve"> Given that the PRACH configuration table design is deeply tied to the ratio between the </w:t>
      </w:r>
      <w:r w:rsidR="00003FD9">
        <w:rPr>
          <w:rFonts w:cs="Arial"/>
          <w:lang w:val="en-GB"/>
        </w:rPr>
        <w:t xml:space="preserve">system </w:t>
      </w:r>
      <w:r w:rsidR="00022603">
        <w:rPr>
          <w:rFonts w:cs="Arial"/>
          <w:lang w:val="en-GB"/>
        </w:rPr>
        <w:t xml:space="preserve">frame duration and the </w:t>
      </w:r>
      <w:r w:rsidR="00107D8F">
        <w:rPr>
          <w:rFonts w:cs="Arial"/>
          <w:lang w:val="en-GB"/>
        </w:rPr>
        <w:t>PRACH slot</w:t>
      </w:r>
      <w:r w:rsidR="00022603">
        <w:rPr>
          <w:rFonts w:cs="Arial"/>
          <w:lang w:val="en-GB"/>
        </w:rPr>
        <w:t xml:space="preserve"> duration</w:t>
      </w:r>
      <w:r w:rsidR="00107D8F">
        <w:rPr>
          <w:rFonts w:cs="Arial"/>
          <w:lang w:val="en-GB"/>
        </w:rPr>
        <w:t xml:space="preserve"> (which in turn depends on the PRACH SCS)</w:t>
      </w:r>
      <w:r w:rsidR="00022603">
        <w:rPr>
          <w:rFonts w:cs="Arial"/>
          <w:lang w:val="en-GB"/>
        </w:rPr>
        <w:t xml:space="preserve">, the ability to reuse the PRACH configuration table also </w:t>
      </w:r>
      <w:r w:rsidR="00BE2705">
        <w:rPr>
          <w:rFonts w:cs="Arial"/>
          <w:lang w:val="en-GB"/>
        </w:rPr>
        <w:t xml:space="preserve">provides a strong motivation against </w:t>
      </w:r>
      <w:r w:rsidR="00022603">
        <w:rPr>
          <w:rFonts w:cs="Arial"/>
          <w:lang w:val="en-GB"/>
        </w:rPr>
        <w:t>introducing new PRACH SCS beyond those in FR2.</w:t>
      </w:r>
    </w:p>
    <w:p w14:paraId="3ACA9DD9" w14:textId="58F61963" w:rsidR="00CB3319" w:rsidRDefault="00CB3319" w:rsidP="00CB3319">
      <w:pPr>
        <w:pStyle w:val="Proposal"/>
      </w:pPr>
      <w:bookmarkStart w:id="625" w:name="_Toc53655945"/>
      <w:bookmarkStart w:id="626" w:name="_Toc53740281"/>
      <w:bookmarkStart w:id="627" w:name="_Toc53740379"/>
      <w:bookmarkStart w:id="628" w:name="_Toc53740444"/>
      <w:bookmarkStart w:id="629" w:name="_Toc53740509"/>
      <w:bookmarkStart w:id="630" w:name="_Toc53740573"/>
      <w:bookmarkStart w:id="631" w:name="_Toc53774138"/>
      <w:bookmarkStart w:id="632" w:name="_Toc53776225"/>
      <w:bookmarkEnd w:id="625"/>
      <w:bookmarkEnd w:id="626"/>
      <w:bookmarkEnd w:id="627"/>
      <w:bookmarkEnd w:id="628"/>
      <w:bookmarkEnd w:id="629"/>
      <w:bookmarkEnd w:id="630"/>
      <w:bookmarkEnd w:id="631"/>
      <w:r w:rsidRPr="00CB3319">
        <w:t>Reuse FR2 PRACH configuration tables</w:t>
      </w:r>
      <w:r w:rsidR="00022603">
        <w:t xml:space="preserve"> for 52.6–71 GHz</w:t>
      </w:r>
      <w:r>
        <w:t>.</w:t>
      </w:r>
      <w:bookmarkEnd w:id="632"/>
    </w:p>
    <w:p w14:paraId="522AD4DD" w14:textId="503515AD" w:rsidR="00037093" w:rsidRDefault="00037093" w:rsidP="00CB3319">
      <w:pPr>
        <w:pStyle w:val="BodyText"/>
        <w:rPr>
          <w:rFonts w:ascii="Times New Roman" w:hAnsi="Times New Roman" w:cs="Arial"/>
          <w:lang w:eastAsia="ja-JP"/>
        </w:rPr>
      </w:pPr>
    </w:p>
    <w:p w14:paraId="3900E415" w14:textId="58091229" w:rsidR="005E1383" w:rsidRDefault="00037093" w:rsidP="004F69A1">
      <w:pPr>
        <w:pStyle w:val="BodyText"/>
        <w:rPr>
          <w:rFonts w:cs="Arial"/>
          <w:lang w:val="en-GB"/>
        </w:rPr>
      </w:pPr>
      <w:r>
        <w:t xml:space="preserve">Regarding the FFS on LBT gaps between back-to-back PRACH occasions in the same slot, we observe (see companion contribution on channel access </w:t>
      </w:r>
      <w:r>
        <w:fldChar w:fldCharType="begin"/>
      </w:r>
      <w:r>
        <w:instrText xml:space="preserve"> REF _Ref52864098 \r \h </w:instrText>
      </w:r>
      <w:r>
        <w:fldChar w:fldCharType="separate"/>
      </w:r>
      <w:r w:rsidR="00BE31F7">
        <w:t>[4]</w:t>
      </w:r>
      <w:r>
        <w:fldChar w:fldCharType="end"/>
      </w:r>
      <w:r>
        <w:t xml:space="preserve">) that LBT is not a requirement in most regulatory regions or bands. For this reason, there was an agreement in RAN1#102-e to support operation both with LBT and without </w:t>
      </w:r>
      <w:r>
        <w:lastRenderedPageBreak/>
        <w:t xml:space="preserve">LBT.  Even for regions/bands where LBT is required (e.g., c1 band according to HS EN 302 567), the LBT threshold is much higher than for the 5/6 GHz band. In </w:t>
      </w:r>
      <w:r>
        <w:fldChar w:fldCharType="begin"/>
      </w:r>
      <w:r>
        <w:instrText xml:space="preserve"> REF _Ref52864098 \r \h </w:instrText>
      </w:r>
      <w:r>
        <w:fldChar w:fldCharType="separate"/>
      </w:r>
      <w:r w:rsidR="00BE31F7">
        <w:t>[4]</w:t>
      </w:r>
      <w:r>
        <w:fldChar w:fldCharType="end"/>
      </w:r>
      <w:r>
        <w:t>, w</w:t>
      </w:r>
      <w:r w:rsidR="00CB3319" w:rsidRPr="003C2819">
        <w:rPr>
          <w:rFonts w:cs="Arial"/>
          <w:lang w:val="en-GB"/>
        </w:rPr>
        <w:t xml:space="preserve">e </w:t>
      </w:r>
      <w:r w:rsidR="00BE2705">
        <w:rPr>
          <w:rFonts w:cs="Arial"/>
          <w:lang w:val="en-GB"/>
        </w:rPr>
        <w:t>provide extensive system simulation</w:t>
      </w:r>
      <w:r w:rsidR="005E1383">
        <w:rPr>
          <w:rFonts w:cs="Arial"/>
          <w:lang w:val="en-GB"/>
        </w:rPr>
        <w:t xml:space="preserve"> results on the effectiveness of LBT. We find that due to the inherent use of beamforming in the 52.6 – 71 GHz band as well as large path loss, the interference plus noise rarely exceeds the high LBT threshold of -47 dBm. As a result, invoking LBT only adds overhead, and thus reduced throughput, due to the fact that a listen period is required, but deferral rarely occurs. For this reason,</w:t>
      </w:r>
      <w:r w:rsidR="007255F2">
        <w:rPr>
          <w:rFonts w:cs="Arial"/>
          <w:lang w:val="en-GB"/>
        </w:rPr>
        <w:t xml:space="preserve"> it makes little</w:t>
      </w:r>
      <w:r w:rsidR="005E1383">
        <w:rPr>
          <w:rFonts w:cs="Arial"/>
          <w:lang w:val="en-GB"/>
        </w:rPr>
        <w:t xml:space="preserve"> sense to </w:t>
      </w:r>
      <w:r>
        <w:rPr>
          <w:rFonts w:cs="Arial"/>
          <w:lang w:val="en-GB"/>
        </w:rPr>
        <w:t>optimize RACH configuration by introducing</w:t>
      </w:r>
      <w:r w:rsidR="005E1383">
        <w:rPr>
          <w:rFonts w:cs="Arial"/>
          <w:lang w:val="en-GB"/>
        </w:rPr>
        <w:t xml:space="preserve"> LBT gaps between PRACH occasions. Other configuration means exist in the Rel-15/16 standard that would enable LBT if absolutely needed, e.g., PRACH configurations with only a single PRACH occasion per slot</w:t>
      </w:r>
      <w:r w:rsidR="0084485B">
        <w:rPr>
          <w:rFonts w:cs="Arial"/>
          <w:lang w:val="en-GB"/>
        </w:rPr>
        <w:t>.</w:t>
      </w:r>
    </w:p>
    <w:p w14:paraId="08BF358A" w14:textId="3793E544" w:rsidR="0084485B" w:rsidRDefault="005E1383" w:rsidP="004F69A1">
      <w:pPr>
        <w:pStyle w:val="Proposal"/>
      </w:pPr>
      <w:bookmarkStart w:id="633" w:name="_Toc53655947"/>
      <w:bookmarkStart w:id="634" w:name="_Toc53740283"/>
      <w:bookmarkStart w:id="635" w:name="_Toc53740381"/>
      <w:bookmarkStart w:id="636" w:name="_Toc53740446"/>
      <w:bookmarkStart w:id="637" w:name="_Toc53740511"/>
      <w:bookmarkStart w:id="638" w:name="_Toc53740575"/>
      <w:bookmarkStart w:id="639" w:name="_Toc53774140"/>
      <w:bookmarkStart w:id="640" w:name="_Toc53655948"/>
      <w:bookmarkStart w:id="641" w:name="_Toc53740284"/>
      <w:bookmarkStart w:id="642" w:name="_Toc53740382"/>
      <w:bookmarkStart w:id="643" w:name="_Toc53740447"/>
      <w:bookmarkStart w:id="644" w:name="_Toc53740512"/>
      <w:bookmarkStart w:id="645" w:name="_Toc53740576"/>
      <w:bookmarkStart w:id="646" w:name="_Toc53774141"/>
      <w:bookmarkStart w:id="647" w:name="_Toc53776226"/>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r>
        <w:t xml:space="preserve">Include the following observation in </w:t>
      </w:r>
      <w:r w:rsidR="0084485B">
        <w:t xml:space="preserve">TR 38.808. It is not beneficial to optimize RACH configurations to enable </w:t>
      </w:r>
      <w:r w:rsidR="00CB3319" w:rsidRPr="00CB3319">
        <w:t xml:space="preserve">LBT gaps between </w:t>
      </w:r>
      <w:r w:rsidR="0084485B">
        <w:t>back-to-ba</w:t>
      </w:r>
      <w:r w:rsidR="0039507B">
        <w:t>c</w:t>
      </w:r>
      <w:r w:rsidR="0084485B">
        <w:t xml:space="preserve">k </w:t>
      </w:r>
      <w:r w:rsidR="00CB3319" w:rsidRPr="00CB3319">
        <w:t xml:space="preserve">PRACH occasions </w:t>
      </w:r>
      <w:r w:rsidR="0084485B">
        <w:t>in the same slot for operation in the 52.6 – 71 GHz band.</w:t>
      </w:r>
      <w:bookmarkEnd w:id="647"/>
    </w:p>
    <w:p w14:paraId="1706E04D" w14:textId="4B4BDB1D" w:rsidR="00E0459B" w:rsidRDefault="00E0459B" w:rsidP="00E0459B">
      <w:pPr>
        <w:pStyle w:val="Heading2"/>
      </w:pPr>
      <w:bookmarkStart w:id="648" w:name="_Toc53775905"/>
      <w:r>
        <w:t>4.</w:t>
      </w:r>
      <w:r w:rsidR="00A7546B">
        <w:t>2</w:t>
      </w:r>
      <w:r>
        <w:tab/>
        <w:t>DL signals and channels</w:t>
      </w:r>
      <w:bookmarkEnd w:id="648"/>
    </w:p>
    <w:p w14:paraId="0980F7FA" w14:textId="7EBD6C3E" w:rsidR="00D64B2E" w:rsidRDefault="00D64B2E" w:rsidP="00D64B2E">
      <w:pPr>
        <w:pStyle w:val="Heading3"/>
      </w:pPr>
      <w:bookmarkStart w:id="649" w:name="_Toc53775906"/>
      <w:r>
        <w:t>4.</w:t>
      </w:r>
      <w:r w:rsidR="00A7546B">
        <w:t>2</w:t>
      </w:r>
      <w:r>
        <w:t>.1</w:t>
      </w:r>
      <w:r>
        <w:tab/>
        <w:t>PTRS Design</w:t>
      </w:r>
      <w:bookmarkEnd w:id="649"/>
    </w:p>
    <w:p w14:paraId="644BA989" w14:textId="180F94FD" w:rsidR="00365CE7" w:rsidRDefault="00365CE7" w:rsidP="00E0459B">
      <w:pPr>
        <w:rPr>
          <w:rFonts w:ascii="Arial" w:hAnsi="Arial" w:cs="Arial"/>
          <w:highlight w:val="yellow"/>
          <w:lang w:val="en-GB"/>
        </w:rPr>
      </w:pPr>
      <w:r w:rsidRPr="00D64B2E">
        <w:rPr>
          <w:noProof/>
        </w:rPr>
        <mc:AlternateContent>
          <mc:Choice Requires="wps">
            <w:drawing>
              <wp:inline distT="0" distB="0" distL="0" distR="0" wp14:anchorId="0AF9DE02" wp14:editId="2EC696EB">
                <wp:extent cx="6096000" cy="798830"/>
                <wp:effectExtent l="0" t="0" r="19050" b="15240"/>
                <wp:docPr id="12393409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798830"/>
                        </a:xfrm>
                        <a:prstGeom prst="rect">
                          <a:avLst/>
                        </a:prstGeom>
                        <a:solidFill>
                          <a:srgbClr val="FFFFFF"/>
                        </a:solidFill>
                        <a:ln w="9525">
                          <a:solidFill>
                            <a:srgbClr val="000000"/>
                          </a:solidFill>
                          <a:miter lim="800000"/>
                          <a:headEnd/>
                          <a:tailEnd/>
                        </a:ln>
                      </wps:spPr>
                      <wps:txbx>
                        <w:txbxContent>
                          <w:p w14:paraId="0D5F3F0C" w14:textId="77777777" w:rsidR="00BE31F7" w:rsidRPr="00D64B2E" w:rsidRDefault="00BE31F7" w:rsidP="00365CE7">
                            <w:pPr>
                              <w:spacing w:after="0"/>
                              <w:rPr>
                                <w:lang w:eastAsia="en-US"/>
                              </w:rPr>
                            </w:pPr>
                            <w:r w:rsidRPr="00D64B2E">
                              <w:rPr>
                                <w:rFonts w:ascii="Times" w:eastAsia="Batang" w:hAnsi="Times"/>
                                <w:color w:val="181818"/>
                                <w:spacing w:val="-6"/>
                                <w:kern w:val="20"/>
                                <w:highlight w:val="green"/>
                                <w:lang w:eastAsia="en-US"/>
                              </w:rPr>
                              <w:t>Agreement</w:t>
                            </w:r>
                            <w:r w:rsidRPr="00D64B2E">
                              <w:rPr>
                                <w:rFonts w:ascii="Times" w:eastAsia="Batang" w:hAnsi="Times"/>
                                <w:color w:val="181818"/>
                                <w:spacing w:val="-6"/>
                                <w:kern w:val="20"/>
                                <w:lang w:eastAsia="en-US"/>
                              </w:rPr>
                              <w:t>:</w:t>
                            </w:r>
                          </w:p>
                          <w:p w14:paraId="1A025AAC" w14:textId="77777777" w:rsidR="00BE31F7" w:rsidRPr="00D64B2E" w:rsidRDefault="00BE31F7" w:rsidP="00365CE7">
                            <w:pPr>
                              <w:overflowPunct/>
                              <w:autoSpaceDE/>
                              <w:autoSpaceDN/>
                              <w:adjustRightInd/>
                              <w:spacing w:after="0"/>
                              <w:rPr>
                                <w:lang w:eastAsia="en-US"/>
                              </w:rPr>
                            </w:pPr>
                            <w:r w:rsidRPr="00D64B2E">
                              <w:rPr>
                                <w:rFonts w:ascii="Times" w:eastAsia="Batang" w:hAnsi="Times"/>
                                <w:color w:val="181818"/>
                                <w:spacing w:val="-6"/>
                                <w:kern w:val="20"/>
                                <w:lang w:eastAsia="en-US"/>
                              </w:rPr>
                              <w:t xml:space="preserve">Consider at least the following aspects of </w:t>
                            </w:r>
                            <w:r w:rsidRPr="00D64B2E">
                              <w:rPr>
                                <w:rFonts w:ascii="Times" w:eastAsia="Batang" w:hAnsi="Times"/>
                                <w:color w:val="181818"/>
                                <w:spacing w:val="-6"/>
                                <w:kern w:val="20"/>
                                <w:highlight w:val="yellow"/>
                                <w:lang w:eastAsia="en-US"/>
                              </w:rPr>
                              <w:t xml:space="preserve">PT-RS design </w:t>
                            </w:r>
                            <w:r w:rsidRPr="00D64B2E">
                              <w:rPr>
                                <w:rFonts w:ascii="Times" w:eastAsia="Batang" w:hAnsi="Times"/>
                                <w:color w:val="181818"/>
                                <w:spacing w:val="-6"/>
                                <w:kern w:val="20"/>
                                <w:lang w:eastAsia="en-US"/>
                              </w:rPr>
                              <w:t>for a given SCS</w:t>
                            </w:r>
                          </w:p>
                          <w:p w14:paraId="675D2B82" w14:textId="77777777" w:rsidR="00BE31F7" w:rsidRPr="00D64B2E" w:rsidRDefault="00BE31F7" w:rsidP="00365CE7">
                            <w:pPr>
                              <w:numPr>
                                <w:ilvl w:val="0"/>
                                <w:numId w:val="42"/>
                              </w:numPr>
                              <w:overflowPunct/>
                              <w:autoSpaceDE/>
                              <w:autoSpaceDN/>
                              <w:adjustRightInd/>
                              <w:spacing w:after="0" w:line="259" w:lineRule="auto"/>
                              <w:ind w:left="1267"/>
                              <w:contextualSpacing/>
                              <w:textAlignment w:val="auto"/>
                              <w:rPr>
                                <w:color w:val="181818"/>
                                <w:lang w:eastAsia="en-US"/>
                              </w:rPr>
                            </w:pPr>
                            <w:r w:rsidRPr="00D64B2E">
                              <w:rPr>
                                <w:rFonts w:ascii="Times" w:eastAsia="Batang" w:hAnsi="Times"/>
                                <w:color w:val="181818"/>
                                <w:spacing w:val="-6"/>
                                <w:kern w:val="20"/>
                                <w:lang w:eastAsia="en-US"/>
                              </w:rPr>
                              <w:t>Phase noise compensation performance of existing PT-RS design</w:t>
                            </w:r>
                          </w:p>
                          <w:p w14:paraId="7C5B0ED0" w14:textId="77777777" w:rsidR="00BE31F7" w:rsidRPr="00D64B2E" w:rsidRDefault="00BE31F7" w:rsidP="00365CE7">
                            <w:pPr>
                              <w:numPr>
                                <w:ilvl w:val="0"/>
                                <w:numId w:val="42"/>
                              </w:numPr>
                              <w:overflowPunct/>
                              <w:autoSpaceDE/>
                              <w:autoSpaceDN/>
                              <w:adjustRightInd/>
                              <w:spacing w:after="0" w:line="259" w:lineRule="auto"/>
                              <w:ind w:left="1267"/>
                              <w:contextualSpacing/>
                              <w:textAlignment w:val="auto"/>
                              <w:rPr>
                                <w:color w:val="181818"/>
                                <w:lang w:eastAsia="en-US"/>
                              </w:rPr>
                            </w:pPr>
                            <w:r w:rsidRPr="00D64B2E">
                              <w:rPr>
                                <w:rFonts w:ascii="Times" w:eastAsia="Batang" w:hAnsi="Times"/>
                                <w:color w:val="181818"/>
                                <w:spacing w:val="-6"/>
                                <w:kern w:val="20"/>
                                <w:lang w:eastAsia="en-US"/>
                              </w:rPr>
                              <w:t>Study of need of any modification/changes to existing PT-RS design</w:t>
                            </w:r>
                          </w:p>
                          <w:p w14:paraId="4C5433AE" w14:textId="77777777" w:rsidR="00BE31F7" w:rsidRPr="00D64B2E" w:rsidRDefault="00BE31F7" w:rsidP="00365CE7">
                            <w:pPr>
                              <w:numPr>
                                <w:ilvl w:val="1"/>
                                <w:numId w:val="42"/>
                              </w:numPr>
                              <w:overflowPunct/>
                              <w:autoSpaceDE/>
                              <w:autoSpaceDN/>
                              <w:adjustRightInd/>
                              <w:spacing w:after="0" w:line="259" w:lineRule="auto"/>
                              <w:ind w:left="2606"/>
                              <w:contextualSpacing/>
                              <w:textAlignment w:val="auto"/>
                              <w:rPr>
                                <w:color w:val="181818"/>
                                <w:lang w:eastAsia="en-US"/>
                              </w:rPr>
                            </w:pPr>
                            <w:r w:rsidRPr="00D64B2E">
                              <w:rPr>
                                <w:rFonts w:ascii="Times" w:eastAsia="Batang" w:hAnsi="Times"/>
                                <w:color w:val="181818"/>
                                <w:spacing w:val="-6"/>
                                <w:kern w:val="20"/>
                                <w:lang w:eastAsia="en-US"/>
                              </w:rPr>
                              <w:t>Potential modification to the PT-RS pattern or configuration to aid performance improvement for CP-OFDM and DFT-s-OFDM waveforms (if needed)</w:t>
                            </w:r>
                          </w:p>
                          <w:p w14:paraId="554F6643" w14:textId="77777777" w:rsidR="00BE31F7" w:rsidRPr="00D64B2E" w:rsidRDefault="00BE31F7" w:rsidP="00365CE7">
                            <w:pPr>
                              <w:numPr>
                                <w:ilvl w:val="1"/>
                                <w:numId w:val="42"/>
                              </w:numPr>
                              <w:overflowPunct/>
                              <w:autoSpaceDE/>
                              <w:autoSpaceDN/>
                              <w:adjustRightInd/>
                              <w:spacing w:after="0" w:line="259" w:lineRule="auto"/>
                              <w:ind w:left="2606"/>
                              <w:contextualSpacing/>
                              <w:textAlignment w:val="auto"/>
                              <w:rPr>
                                <w:color w:val="181818"/>
                                <w:lang w:eastAsia="en-US"/>
                              </w:rPr>
                            </w:pPr>
                            <w:r w:rsidRPr="00D64B2E">
                              <w:rPr>
                                <w:rFonts w:ascii="Times" w:eastAsia="Batang" w:hAnsi="Times"/>
                                <w:color w:val="181818"/>
                                <w:spacing w:val="-6"/>
                                <w:kern w:val="20"/>
                                <w:lang w:eastAsia="en-US"/>
                              </w:rPr>
                              <w:t>Potential methods to aid ICI compensation at the receiver (if needed)</w:t>
                            </w:r>
                          </w:p>
                        </w:txbxContent>
                      </wps:txbx>
                      <wps:bodyPr rot="0" vert="horz" wrap="square" lIns="91440" tIns="45720" rIns="91440" bIns="45720" anchor="t" anchorCtr="0">
                        <a:spAutoFit/>
                      </wps:bodyPr>
                    </wps:wsp>
                  </a:graphicData>
                </a:graphic>
              </wp:inline>
            </w:drawing>
          </mc:Choice>
          <mc:Fallback>
            <w:pict>
              <v:shape w14:anchorId="0AF9DE02" id="_x0000_s1033" type="#_x0000_t202" style="width:480pt;height:6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">
                <v:textbox style="mso-fit-shape-to-text:t">
                  <w:txbxContent>
                    <w:p w14:paraId="0D5F3F0C" w14:textId="77777777" w:rsidR="00BE31F7" w:rsidRPr="00D64B2E" w:rsidRDefault="00BE31F7" w:rsidP="00365CE7">
                      <w:pPr>
                        <w:spacing w:after="0"/>
                        <w:rPr>
                          <w:lang w:eastAsia="en-US"/>
                        </w:rPr>
                      </w:pPr>
                      <w:r w:rsidRPr="00D64B2E">
                        <w:rPr>
                          <w:rFonts w:ascii="Times" w:eastAsia="Batang" w:hAnsi="Times"/>
                          <w:color w:val="181818"/>
                          <w:spacing w:val="-6"/>
                          <w:kern w:val="20"/>
                          <w:highlight w:val="green"/>
                          <w:lang w:eastAsia="en-US"/>
                        </w:rPr>
                        <w:t>Agreement</w:t>
                      </w:r>
                      <w:r w:rsidRPr="00D64B2E">
                        <w:rPr>
                          <w:rFonts w:ascii="Times" w:eastAsia="Batang" w:hAnsi="Times"/>
                          <w:color w:val="181818"/>
                          <w:spacing w:val="-6"/>
                          <w:kern w:val="20"/>
                          <w:lang w:eastAsia="en-US"/>
                        </w:rPr>
                        <w:t>:</w:t>
                      </w:r>
                    </w:p>
                    <w:p w14:paraId="1A025AAC" w14:textId="77777777" w:rsidR="00BE31F7" w:rsidRPr="00D64B2E" w:rsidRDefault="00BE31F7" w:rsidP="00365CE7">
                      <w:pPr>
                        <w:overflowPunct/>
                        <w:autoSpaceDE/>
                        <w:autoSpaceDN/>
                        <w:adjustRightInd/>
                        <w:spacing w:after="0"/>
                        <w:rPr>
                          <w:lang w:eastAsia="en-US"/>
                        </w:rPr>
                      </w:pPr>
                      <w:r w:rsidRPr="00D64B2E">
                        <w:rPr>
                          <w:rFonts w:ascii="Times" w:eastAsia="Batang" w:hAnsi="Times"/>
                          <w:color w:val="181818"/>
                          <w:spacing w:val="-6"/>
                          <w:kern w:val="20"/>
                          <w:lang w:eastAsia="en-US"/>
                        </w:rPr>
                        <w:t xml:space="preserve">Consider at least the following aspects of </w:t>
                      </w:r>
                      <w:r w:rsidRPr="00D64B2E">
                        <w:rPr>
                          <w:rFonts w:ascii="Times" w:eastAsia="Batang" w:hAnsi="Times"/>
                          <w:color w:val="181818"/>
                          <w:spacing w:val="-6"/>
                          <w:kern w:val="20"/>
                          <w:highlight w:val="yellow"/>
                          <w:lang w:eastAsia="en-US"/>
                        </w:rPr>
                        <w:t xml:space="preserve">PT-RS design </w:t>
                      </w:r>
                      <w:r w:rsidRPr="00D64B2E">
                        <w:rPr>
                          <w:rFonts w:ascii="Times" w:eastAsia="Batang" w:hAnsi="Times"/>
                          <w:color w:val="181818"/>
                          <w:spacing w:val="-6"/>
                          <w:kern w:val="20"/>
                          <w:lang w:eastAsia="en-US"/>
                        </w:rPr>
                        <w:t>for a given SCS</w:t>
                      </w:r>
                    </w:p>
                    <w:p w14:paraId="675D2B82" w14:textId="77777777" w:rsidR="00BE31F7" w:rsidRPr="00D64B2E" w:rsidRDefault="00BE31F7" w:rsidP="00365CE7">
                      <w:pPr>
                        <w:numPr>
                          <w:ilvl w:val="0"/>
                          <w:numId w:val="42"/>
                        </w:numPr>
                        <w:overflowPunct/>
                        <w:autoSpaceDE/>
                        <w:autoSpaceDN/>
                        <w:adjustRightInd/>
                        <w:spacing w:after="0" w:line="259" w:lineRule="auto"/>
                        <w:ind w:left="1267"/>
                        <w:contextualSpacing/>
                        <w:textAlignment w:val="auto"/>
                        <w:rPr>
                          <w:color w:val="181818"/>
                          <w:lang w:eastAsia="en-US"/>
                        </w:rPr>
                      </w:pPr>
                      <w:r w:rsidRPr="00D64B2E">
                        <w:rPr>
                          <w:rFonts w:ascii="Times" w:eastAsia="Batang" w:hAnsi="Times"/>
                          <w:color w:val="181818"/>
                          <w:spacing w:val="-6"/>
                          <w:kern w:val="20"/>
                          <w:lang w:eastAsia="en-US"/>
                        </w:rPr>
                        <w:t>Phase noise compensation performance of existing PT-RS design</w:t>
                      </w:r>
                    </w:p>
                    <w:p w14:paraId="7C5B0ED0" w14:textId="77777777" w:rsidR="00BE31F7" w:rsidRPr="00D64B2E" w:rsidRDefault="00BE31F7" w:rsidP="00365CE7">
                      <w:pPr>
                        <w:numPr>
                          <w:ilvl w:val="0"/>
                          <w:numId w:val="42"/>
                        </w:numPr>
                        <w:overflowPunct/>
                        <w:autoSpaceDE/>
                        <w:autoSpaceDN/>
                        <w:adjustRightInd/>
                        <w:spacing w:after="0" w:line="259" w:lineRule="auto"/>
                        <w:ind w:left="1267"/>
                        <w:contextualSpacing/>
                        <w:textAlignment w:val="auto"/>
                        <w:rPr>
                          <w:color w:val="181818"/>
                          <w:lang w:eastAsia="en-US"/>
                        </w:rPr>
                      </w:pPr>
                      <w:r w:rsidRPr="00D64B2E">
                        <w:rPr>
                          <w:rFonts w:ascii="Times" w:eastAsia="Batang" w:hAnsi="Times"/>
                          <w:color w:val="181818"/>
                          <w:spacing w:val="-6"/>
                          <w:kern w:val="20"/>
                          <w:lang w:eastAsia="en-US"/>
                        </w:rPr>
                        <w:t>Study of need of any modification/changes to existing PT-RS design</w:t>
                      </w:r>
                    </w:p>
                    <w:p w14:paraId="4C5433AE" w14:textId="77777777" w:rsidR="00BE31F7" w:rsidRPr="00D64B2E" w:rsidRDefault="00BE31F7" w:rsidP="00365CE7">
                      <w:pPr>
                        <w:numPr>
                          <w:ilvl w:val="1"/>
                          <w:numId w:val="42"/>
                        </w:numPr>
                        <w:overflowPunct/>
                        <w:autoSpaceDE/>
                        <w:autoSpaceDN/>
                        <w:adjustRightInd/>
                        <w:spacing w:after="0" w:line="259" w:lineRule="auto"/>
                        <w:ind w:left="2606"/>
                        <w:contextualSpacing/>
                        <w:textAlignment w:val="auto"/>
                        <w:rPr>
                          <w:color w:val="181818"/>
                          <w:lang w:eastAsia="en-US"/>
                        </w:rPr>
                      </w:pPr>
                      <w:r w:rsidRPr="00D64B2E">
                        <w:rPr>
                          <w:rFonts w:ascii="Times" w:eastAsia="Batang" w:hAnsi="Times"/>
                          <w:color w:val="181818"/>
                          <w:spacing w:val="-6"/>
                          <w:kern w:val="20"/>
                          <w:lang w:eastAsia="en-US"/>
                        </w:rPr>
                        <w:t>Potential modification to the PT-RS pattern or configuration to aid performance improvement for CP-OFDM and DFT-s-OFDM waveforms (if needed)</w:t>
                      </w:r>
                    </w:p>
                    <w:p w14:paraId="554F6643" w14:textId="77777777" w:rsidR="00BE31F7" w:rsidRPr="00D64B2E" w:rsidRDefault="00BE31F7" w:rsidP="00365CE7">
                      <w:pPr>
                        <w:numPr>
                          <w:ilvl w:val="1"/>
                          <w:numId w:val="42"/>
                        </w:numPr>
                        <w:overflowPunct/>
                        <w:autoSpaceDE/>
                        <w:autoSpaceDN/>
                        <w:adjustRightInd/>
                        <w:spacing w:after="0" w:line="259" w:lineRule="auto"/>
                        <w:ind w:left="2606"/>
                        <w:contextualSpacing/>
                        <w:textAlignment w:val="auto"/>
                        <w:rPr>
                          <w:color w:val="181818"/>
                          <w:lang w:eastAsia="en-US"/>
                        </w:rPr>
                      </w:pPr>
                      <w:r w:rsidRPr="00D64B2E">
                        <w:rPr>
                          <w:rFonts w:ascii="Times" w:eastAsia="Batang" w:hAnsi="Times"/>
                          <w:color w:val="181818"/>
                          <w:spacing w:val="-6"/>
                          <w:kern w:val="20"/>
                          <w:lang w:eastAsia="en-US"/>
                        </w:rPr>
                        <w:t>Potential methods to aid ICI compensation at the receiver (if needed)</w:t>
                      </w:r>
                    </w:p>
                  </w:txbxContent>
                </v:textbox>
                <w10:anchorlock/>
              </v:shape>
            </w:pict>
          </mc:Fallback>
        </mc:AlternateContent>
      </w:r>
    </w:p>
    <w:p w14:paraId="30523C5C" w14:textId="4C1DDBF1" w:rsidR="00FA7C97" w:rsidRDefault="00FA7C97" w:rsidP="00FA7C97">
      <w:pPr>
        <w:pStyle w:val="BodyText"/>
      </w:pPr>
      <w:r>
        <w:t>There are two possible</w:t>
      </w:r>
      <w:r w:rsidRPr="00D55D0C">
        <w:t xml:space="preserve"> approaches to mitigate OFDM signal performance degradation caused by time-varying phase noise induced inter-subcarrier-interference (ICI)</w:t>
      </w:r>
      <w:r>
        <w:t>:</w:t>
      </w:r>
    </w:p>
    <w:p w14:paraId="5DE261D9" w14:textId="0B986B1E" w:rsidR="00FA7C97" w:rsidRDefault="00FA7C97" w:rsidP="00FA7C97">
      <w:pPr>
        <w:pStyle w:val="BodyText"/>
        <w:numPr>
          <w:ilvl w:val="0"/>
          <w:numId w:val="68"/>
        </w:numPr>
      </w:pPr>
      <w:r>
        <w:t>Direct de-ICI filtering approach</w:t>
      </w:r>
      <w:r w:rsidR="001E7C26">
        <w:t xml:space="preserve"> (Section 3.3.2)</w:t>
      </w:r>
    </w:p>
    <w:p w14:paraId="6F83550C" w14:textId="56F33485" w:rsidR="00FA7C97" w:rsidRDefault="00FA7C97" w:rsidP="003C2819">
      <w:pPr>
        <w:pStyle w:val="BodyText"/>
        <w:ind w:left="720"/>
      </w:pPr>
      <w:r>
        <w:t xml:space="preserve">With this approach </w:t>
      </w:r>
      <w:r w:rsidRPr="00D55D0C">
        <w:t>a filter on the received signal is estimated directly such that the filtered received signal becomes approximately free of ICI</w:t>
      </w:r>
      <w:r w:rsidR="0009541B">
        <w:t xml:space="preserve">. As demonstrated in Section 3.3.2, </w:t>
      </w:r>
      <w:r w:rsidR="00FD4B29">
        <w:t xml:space="preserve">this approach can be readily applied </w:t>
      </w:r>
      <w:r w:rsidR="002A50D0">
        <w:t>using</w:t>
      </w:r>
      <w:r>
        <w:t xml:space="preserve"> the </w:t>
      </w:r>
      <w:r w:rsidR="002A50D0">
        <w:t xml:space="preserve">existing </w:t>
      </w:r>
      <w:r>
        <w:t xml:space="preserve">Rel-15 PTRS design </w:t>
      </w:r>
      <w:r w:rsidR="002A50D0">
        <w:t xml:space="preserve">without any </w:t>
      </w:r>
      <w:r w:rsidR="00E6426C">
        <w:t xml:space="preserve">additional </w:t>
      </w:r>
      <w:r w:rsidR="002A50D0">
        <w:t>change</w:t>
      </w:r>
      <w:r>
        <w:t>.</w:t>
      </w:r>
    </w:p>
    <w:p w14:paraId="1C62AB9E" w14:textId="4B975A2E" w:rsidR="00FA7C97" w:rsidRDefault="00FA7C97" w:rsidP="00FA7C97">
      <w:pPr>
        <w:pStyle w:val="BodyText"/>
        <w:numPr>
          <w:ilvl w:val="0"/>
          <w:numId w:val="68"/>
        </w:numPr>
      </w:pPr>
      <w:r>
        <w:t>ICI filter approximation approach</w:t>
      </w:r>
      <w:r w:rsidR="001C25D2">
        <w:t xml:space="preserve"> (described below)</w:t>
      </w:r>
    </w:p>
    <w:p w14:paraId="14BE41A7" w14:textId="028861D6" w:rsidR="00FA7C97" w:rsidRDefault="00FA7C97" w:rsidP="003C2819">
      <w:pPr>
        <w:pStyle w:val="BodyText"/>
        <w:ind w:left="720"/>
      </w:pPr>
      <w:r>
        <w:t xml:space="preserve">With this approach, </w:t>
      </w:r>
      <w:r w:rsidRPr="00D55D0C">
        <w:t>the ICI filter induced by the phase noise is estimated first.</w:t>
      </w:r>
      <w:r>
        <w:t xml:space="preserve"> T</w:t>
      </w:r>
      <w:r w:rsidRPr="00D55D0C">
        <w:t>he received signal is then filtered by the conjugate reverse of the estimated ICI filter</w:t>
      </w:r>
      <w:r>
        <w:t>.</w:t>
      </w:r>
      <w:r w:rsidR="0075538C">
        <w:t xml:space="preserve"> </w:t>
      </w:r>
      <w:r>
        <w:t>This approach requires that one or more clusters of consecutive subcarriers are used for PT-RS</w:t>
      </w:r>
      <w:r w:rsidR="004721FE">
        <w:t>, which is different than</w:t>
      </w:r>
      <w:r w:rsidRPr="00D55D0C">
        <w:t xml:space="preserve"> the fully distributed structure of the Rel-15 PT-RS</w:t>
      </w:r>
      <w:r w:rsidR="00CA7224">
        <w:t xml:space="preserve"> </w:t>
      </w:r>
      <w:r w:rsidR="00CA7224">
        <w:fldChar w:fldCharType="begin"/>
      </w:r>
      <w:r w:rsidR="00CA7224">
        <w:instrText xml:space="preserve"> REF _Ref53396834 \r \h </w:instrText>
      </w:r>
      <w:r w:rsidR="00CA7224">
        <w:fldChar w:fldCharType="separate"/>
      </w:r>
      <w:r w:rsidR="00BE31F7">
        <w:t>[23]</w:t>
      </w:r>
      <w:r w:rsidR="00CA7224">
        <w:fldChar w:fldCharType="end"/>
      </w:r>
      <w:r>
        <w:t>.</w:t>
      </w:r>
    </w:p>
    <w:p w14:paraId="57CC536B" w14:textId="1745BA6F" w:rsidR="00836696" w:rsidRPr="00836696" w:rsidRDefault="00836696" w:rsidP="00836696">
      <w:pPr>
        <w:pStyle w:val="BodyText"/>
      </w:pPr>
      <w:r w:rsidRPr="00836696">
        <w:t xml:space="preserve">In the ICI filter approximation approach, the ICI filter </w:t>
      </w:r>
      <m:oMath>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i</m:t>
            </m:r>
          </m:sub>
        </m:sSub>
        <m:r>
          <w:rPr>
            <w:rFonts w:ascii="Cambria Math" w:hAnsi="Cambria Math"/>
          </w:rPr>
          <m:t>}</m:t>
        </m:r>
      </m:oMath>
      <w:r w:rsidRPr="00836696">
        <w:t xml:space="preserve"> induced by the phase noise is estimated first. The received signal is then filtered by the conjugate reverse of the estimated ICI filter </w:t>
      </w:r>
      <w:r w:rsidRPr="00836696">
        <w:fldChar w:fldCharType="begin"/>
      </w:r>
      <w:r w:rsidRPr="00836696">
        <w:instrText xml:space="preserve"> REF _Ref47085970 \r \h </w:instrText>
      </w:r>
      <w:r w:rsidRPr="00836696">
        <w:fldChar w:fldCharType="separate"/>
      </w:r>
      <w:r w:rsidR="00BE31F7">
        <w:t>[6]</w:t>
      </w:r>
      <w:r w:rsidRPr="00836696">
        <w:rPr>
          <w:lang w:val="en-GB"/>
        </w:rPr>
        <w:fldChar w:fldCharType="end"/>
      </w:r>
      <w:r w:rsidRPr="00836696">
        <w:t xml:space="preserve">. </w:t>
      </w:r>
      <w:r w:rsidRPr="00836696">
        <w:rPr>
          <w:lang w:val="en-GB"/>
        </w:rPr>
        <w:t>To estimate the ICI filter,</w:t>
      </w:r>
      <w:r w:rsidRPr="00836696">
        <w:t xml:space="preserve"> two sub-approaches have been investigated in the literature. The first sub-approach as discussed in </w:t>
      </w:r>
      <w:r w:rsidRPr="00836696">
        <w:fldChar w:fldCharType="begin"/>
      </w:r>
      <w:r w:rsidRPr="00836696">
        <w:instrText xml:space="preserve"> REF _Ref47085970 \r \h </w:instrText>
      </w:r>
      <w:r w:rsidRPr="00836696">
        <w:fldChar w:fldCharType="separate"/>
      </w:r>
      <w:r w:rsidR="00BE31F7">
        <w:t>[6]</w:t>
      </w:r>
      <w:r w:rsidRPr="00836696">
        <w:rPr>
          <w:lang w:val="en-GB"/>
        </w:rPr>
        <w:fldChar w:fldCharType="end"/>
      </w:r>
      <w:r w:rsidRPr="00836696">
        <w:t xml:space="preserve"> relies on decision feedback of the data sub-carriers to assist the ICI filter estimation. The second sub-approach assumes the availability of known symbols in a block of contiguous sub-carriers </w:t>
      </w:r>
      <w:r w:rsidR="00A604B3">
        <w:fldChar w:fldCharType="begin"/>
      </w:r>
      <w:r w:rsidR="00A604B3">
        <w:instrText xml:space="preserve"> REF _Ref53396834 \r \h </w:instrText>
      </w:r>
      <w:r w:rsidR="00A604B3">
        <w:fldChar w:fldCharType="separate"/>
      </w:r>
      <w:r w:rsidR="00BE31F7">
        <w:t>[23]</w:t>
      </w:r>
      <w:r w:rsidR="00A604B3">
        <w:fldChar w:fldCharType="end"/>
      </w:r>
      <w:r w:rsidRPr="00836696">
        <w:t>. The first approach requires high computational complexity and is unlikely to be suitable for high data rate use cases for NR operation in 52.6 to 71 GHz. We explore the second sub-approach in the following.</w:t>
      </w:r>
    </w:p>
    <w:p w14:paraId="54A91C71" w14:textId="2B39C27B" w:rsidR="00836696" w:rsidRPr="00836696" w:rsidRDefault="00836696" w:rsidP="00836696">
      <w:pPr>
        <w:pStyle w:val="BodyText"/>
      </w:pPr>
      <w:r w:rsidRPr="00836696">
        <w:rPr>
          <w:lang w:val="en-GB"/>
        </w:rPr>
        <w:t xml:space="preserve">Let </w:t>
      </w:r>
      <m:oMath>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+1,⋯,</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+M-1}</m:t>
        </m:r>
      </m:oMath>
      <w:r w:rsidRPr="00836696">
        <w:t xml:space="preserve"> denote the sub-carrier indices of </w:t>
      </w:r>
      <w:r w:rsidRPr="00836696">
        <w:rPr>
          <w:lang w:val="en-GB"/>
        </w:rPr>
        <w:t xml:space="preserve">the block of </w:t>
      </w:r>
      <m:oMath>
        <m:r>
          <w:rPr>
            <w:rFonts w:ascii="Cambria Math" w:hAnsi="Cambria Math"/>
            <w:lang w:val="en-GB"/>
          </w:rPr>
          <m:t>M</m:t>
        </m:r>
      </m:oMath>
      <w:r w:rsidRPr="00836696">
        <w:rPr>
          <w:lang w:val="en-GB"/>
        </w:rPr>
        <w:t xml:space="preserve"> contiguous known symbols</w:t>
      </w:r>
      <w:r w:rsidRPr="00836696">
        <w:t xml:space="preserve">. The object is to estimate a </w:t>
      </w:r>
      <m:oMath>
        <m:d>
          <m:dPr>
            <m:ctrlPr>
              <w:rPr>
                <w:rFonts w:ascii="Cambria Math" w:hAnsi="Cambria Math"/>
                <w:i/>
              </w:rPr>
            </m:ctrlPr>
          </m:dPr>
          <m:e>
            <m:r>
              <w:rPr>
                <w:rFonts w:ascii="Cambria Math" w:hAnsi="Cambria Math"/>
              </w:rPr>
              <m:t>2u+1</m:t>
            </m:r>
          </m:e>
        </m:d>
      </m:oMath>
      <w:r w:rsidRPr="00836696">
        <w:t>-tap filter such that</w:t>
      </w:r>
    </w:p>
    <w:p w14:paraId="76B4FC74" w14:textId="64753E3B" w:rsidR="00836696" w:rsidRPr="00836696" w:rsidRDefault="00B04ED4" w:rsidP="00836696">
      <w:pPr>
        <w:pStyle w:val="BodyText"/>
      </w:pPr>
      <m:oMathPara>
        <m:oMath>
          <m:nary>
            <m:naryPr>
              <m:chr m:val="∑"/>
              <m:limLoc m:val="undOvr"/>
              <m:ctrlPr>
                <w:rPr>
                  <w:rFonts w:ascii="Cambria Math" w:hAnsi="Cambria Math"/>
                  <w:i/>
                </w:rPr>
              </m:ctrlPr>
            </m:naryPr>
            <m:sub>
              <m:r>
                <w:rPr>
                  <w:rFonts w:ascii="Cambria Math" w:hAnsi="Cambria Math"/>
                </w:rPr>
                <m:t>m=-u</m:t>
              </m:r>
            </m:sub>
            <m:sup>
              <m:r>
                <w:rPr>
                  <w:rFonts w:ascii="Cambria Math" w:hAnsi="Cambria Math"/>
                </w:rPr>
                <m:t>u</m:t>
              </m:r>
            </m:sup>
            <m:e>
              <m:sSub>
                <m:sSubPr>
                  <m:ctrlPr>
                    <w:rPr>
                      <w:rFonts w:ascii="Cambria Math" w:hAnsi="Cambria Math"/>
                      <w:i/>
                    </w:rPr>
                  </m:ctrlPr>
                </m:sSubPr>
                <m:e>
                  <m:r>
                    <w:rPr>
                      <w:rFonts w:ascii="Cambria Math" w:hAnsi="Cambria Math"/>
                    </w:rPr>
                    <m:t>b</m:t>
                  </m:r>
                </m:e>
                <m:sub>
                  <m:r>
                    <w:rPr>
                      <w:rFonts w:ascii="Cambria Math" w:hAnsi="Cambria Math"/>
                    </w:rPr>
                    <m:t>m</m:t>
                  </m:r>
                </m:sub>
              </m:sSub>
              <m:sSub>
                <m:sSubPr>
                  <m:ctrlPr>
                    <w:rPr>
                      <w:rFonts w:ascii="Cambria Math" w:hAnsi="Cambria Math"/>
                      <w:i/>
                    </w:rPr>
                  </m:ctrlPr>
                </m:sSubPr>
                <m:e>
                  <m:r>
                    <w:rPr>
                      <w:rFonts w:ascii="Cambria Math" w:hAnsi="Cambria Math"/>
                    </w:rPr>
                    <m:t>H</m:t>
                  </m:r>
                </m:e>
                <m:sub>
                  <m:r>
                    <w:rPr>
                      <w:rFonts w:ascii="Cambria Math" w:hAnsi="Cambria Math"/>
                    </w:rPr>
                    <m:t>k-m</m:t>
                  </m:r>
                </m:sub>
              </m:sSub>
              <m:sSub>
                <m:sSubPr>
                  <m:ctrlPr>
                    <w:rPr>
                      <w:rFonts w:ascii="Cambria Math" w:hAnsi="Cambria Math"/>
                      <w:i/>
                    </w:rPr>
                  </m:ctrlPr>
                </m:sSubPr>
                <m:e>
                  <m:r>
                    <w:rPr>
                      <w:rFonts w:ascii="Cambria Math" w:hAnsi="Cambria Math"/>
                    </w:rPr>
                    <m:t>S</m:t>
                  </m:r>
                </m:e>
                <m:sub>
                  <m:r>
                    <w:rPr>
                      <w:rFonts w:ascii="Cambria Math" w:hAnsi="Cambria Math"/>
                    </w:rPr>
                    <m:t>k-m</m:t>
                  </m:r>
                </m:sub>
              </m:sSub>
            </m:e>
          </m:nary>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k</m:t>
              </m:r>
            </m:sub>
          </m:sSub>
          <m:r>
            <w:rPr>
              <w:rFonts w:ascii="Cambria Math" w:hAnsi="Cambria Math"/>
            </w:rPr>
            <m:t xml:space="preserve">  </m:t>
          </m:r>
          <m:r>
            <m:rPr>
              <m:sty m:val="p"/>
            </m:rPr>
            <w:rPr>
              <w:rFonts w:ascii="Cambria Math" w:hAnsi="Cambria Math"/>
            </w:rPr>
            <m:t>for</m:t>
          </m:r>
          <m:r>
            <w:rPr>
              <w:rFonts w:ascii="Cambria Math" w:hAnsi="Cambria Math"/>
            </w:rPr>
            <m:t xml:space="preserve"> k∈</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+u,</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+u+1,⋯,</m:t>
          </m:r>
          <m:sSub>
            <m:sSubPr>
              <m:ctrlPr>
                <w:rPr>
                  <w:rFonts w:ascii="Cambria Math" w:hAnsi="Cambria Math"/>
                  <w:i/>
                  <w:iCs/>
                </w:rPr>
              </m:ctrlPr>
            </m:sSubPr>
            <m:e>
              <m:r>
                <w:rPr>
                  <w:rFonts w:ascii="Cambria Math" w:hAnsi="Cambria Math"/>
                </w:rPr>
                <m:t>k</m:t>
              </m:r>
            </m:e>
            <m:sub>
              <m:r>
                <w:rPr>
                  <w:rFonts w:ascii="Cambria Math" w:hAnsi="Cambria Math"/>
                </w:rPr>
                <m:t>0</m:t>
              </m:r>
            </m:sub>
          </m:sSub>
          <m:r>
            <w:rPr>
              <w:rFonts w:ascii="Cambria Math" w:hAnsi="Cambria Math"/>
            </w:rPr>
            <m:t>+M-u-1}.</m:t>
          </m:r>
        </m:oMath>
      </m:oMathPara>
    </w:p>
    <w:p w14:paraId="1845F371" w14:textId="249EE05B" w:rsidR="00836696" w:rsidRPr="00836696" w:rsidRDefault="00836696" w:rsidP="00836696">
      <w:pPr>
        <w:pStyle w:val="BodyText"/>
        <w:rPr>
          <w:lang w:val="en-GB"/>
        </w:rPr>
      </w:pPr>
      <w:r w:rsidRPr="00836696">
        <w:rPr>
          <w:lang w:val="en-GB"/>
        </w:rPr>
        <w:t xml:space="preserve">Note that there are only </w:t>
      </w:r>
      <m:oMath>
        <m:r>
          <w:rPr>
            <w:rFonts w:ascii="Cambria Math" w:hAnsi="Cambria Math"/>
            <w:lang w:val="en-GB"/>
          </w:rPr>
          <m:t>M-2u</m:t>
        </m:r>
      </m:oMath>
      <w:r w:rsidRPr="00836696">
        <w:rPr>
          <w:lang w:val="en-GB"/>
        </w:rPr>
        <w:t xml:space="preserve"> equations in the above because </w:t>
      </w:r>
      <m:oMath>
        <m:sSub>
          <m:sSubPr>
            <m:ctrlPr>
              <w:rPr>
                <w:rFonts w:ascii="Cambria Math" w:hAnsi="Cambria Math"/>
                <w:i/>
                <w:lang w:val="en-GB"/>
              </w:rPr>
            </m:ctrlPr>
          </m:sSubPr>
          <m:e>
            <m:r>
              <w:rPr>
                <w:rFonts w:ascii="Cambria Math" w:hAnsi="Cambria Math"/>
                <w:lang w:val="en-GB"/>
              </w:rPr>
              <m:t>S</m:t>
            </m:r>
          </m:e>
          <m:sub>
            <m:r>
              <w:rPr>
                <w:rFonts w:ascii="Cambria Math" w:hAnsi="Cambria Math"/>
                <w:lang w:val="en-GB"/>
              </w:rPr>
              <m:t>k</m:t>
            </m:r>
          </m:sub>
        </m:sSub>
      </m:oMath>
      <w:r w:rsidRPr="00836696">
        <w:rPr>
          <w:lang w:val="en-GB"/>
        </w:rPr>
        <w:t xml:space="preserve"> is not known if </w:t>
      </w:r>
      <m:oMath>
        <m:r>
          <w:rPr>
            <w:rFonts w:ascii="Cambria Math" w:hAnsi="Cambria Math"/>
            <w:lang w:val="en-GB"/>
          </w:rPr>
          <m:t>k&lt;</m:t>
        </m:r>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0</m:t>
            </m:r>
          </m:sub>
        </m:sSub>
      </m:oMath>
      <w:r w:rsidRPr="00836696">
        <w:rPr>
          <w:lang w:val="en-GB"/>
        </w:rPr>
        <w:t xml:space="preserve"> or </w:t>
      </w:r>
      <m:oMath>
        <m:r>
          <w:rPr>
            <w:rFonts w:ascii="Cambria Math" w:hAnsi="Cambria Math"/>
            <w:lang w:val="en-GB"/>
          </w:rPr>
          <m:t>k&gt;</m:t>
        </m:r>
        <m:sSub>
          <m:sSubPr>
            <m:ctrlPr>
              <w:rPr>
                <w:rFonts w:ascii="Cambria Math" w:hAnsi="Cambria Math"/>
                <w:i/>
                <w:lang w:val="en-GB"/>
              </w:rPr>
            </m:ctrlPr>
          </m:sSubPr>
          <m:e>
            <m:r>
              <w:rPr>
                <w:rFonts w:ascii="Cambria Math" w:hAnsi="Cambria Math"/>
                <w:lang w:val="en-GB"/>
              </w:rPr>
              <m:t>k</m:t>
            </m:r>
          </m:e>
          <m:sub>
            <m:r>
              <w:rPr>
                <w:rFonts w:ascii="Cambria Math" w:hAnsi="Cambria Math"/>
                <w:lang w:val="en-GB"/>
              </w:rPr>
              <m:t>0</m:t>
            </m:r>
          </m:sub>
        </m:sSub>
        <m:r>
          <w:rPr>
            <w:rFonts w:ascii="Cambria Math" w:hAnsi="Cambria Math"/>
            <w:lang w:val="en-GB"/>
          </w:rPr>
          <m:t>+M-1</m:t>
        </m:r>
      </m:oMath>
      <w:r w:rsidRPr="00836696">
        <w:rPr>
          <w:lang w:val="en-GB"/>
        </w:rPr>
        <w:t xml:space="preserve">. In comparison, the direct de-ICI filtering approach in last section always utilizes </w:t>
      </w:r>
      <m:oMath>
        <m:r>
          <w:rPr>
            <w:rFonts w:ascii="Cambria Math" w:hAnsi="Cambria Math"/>
            <w:lang w:val="en-GB"/>
          </w:rPr>
          <m:t>M</m:t>
        </m:r>
      </m:oMath>
      <w:r w:rsidRPr="00836696">
        <w:rPr>
          <w:lang w:val="en-GB"/>
        </w:rPr>
        <w:t xml:space="preserve"> equations for the </w:t>
      </w:r>
      <m:oMath>
        <m:r>
          <w:rPr>
            <w:rFonts w:ascii="Cambria Math" w:hAnsi="Cambria Math"/>
            <w:lang w:val="en-GB"/>
          </w:rPr>
          <m:t>N</m:t>
        </m:r>
      </m:oMath>
      <w:r w:rsidRPr="00836696">
        <w:rPr>
          <w:lang w:val="en-GB"/>
        </w:rPr>
        <w:t xml:space="preserve"> known reference symbols regardless of the value of </w:t>
      </w:r>
      <m:oMath>
        <m:r>
          <w:rPr>
            <w:rFonts w:ascii="Cambria Math" w:hAnsi="Cambria Math"/>
            <w:lang w:val="en-GB"/>
          </w:rPr>
          <m:t>u</m:t>
        </m:r>
      </m:oMath>
      <w:r w:rsidRPr="00836696">
        <w:rPr>
          <w:lang w:val="en-GB"/>
        </w:rPr>
        <w:t xml:space="preserve">. That is, given the same amount of reference symbols, the direct de-ICI filtering approach </w:t>
      </w:r>
      <w:r w:rsidR="007255F2">
        <w:rPr>
          <w:lang w:val="en-GB"/>
        </w:rPr>
        <w:t xml:space="preserve">described in Section 3.3.2 </w:t>
      </w:r>
      <w:r w:rsidRPr="00836696">
        <w:rPr>
          <w:lang w:val="en-GB"/>
        </w:rPr>
        <w:t xml:space="preserve">has higher reference symbol efficiency than the ICI filter approximation approach </w:t>
      </w:r>
      <w:r w:rsidR="007255F2">
        <w:rPr>
          <w:lang w:val="en-GB"/>
        </w:rPr>
        <w:t>described here</w:t>
      </w:r>
      <w:r w:rsidRPr="00836696">
        <w:rPr>
          <w:lang w:val="en-GB"/>
        </w:rPr>
        <w:t>.</w:t>
      </w:r>
    </w:p>
    <w:p w14:paraId="4E98EEEC" w14:textId="77777777" w:rsidR="00836696" w:rsidRPr="00836696" w:rsidRDefault="00836696" w:rsidP="00836696">
      <w:pPr>
        <w:pStyle w:val="BodyText"/>
        <w:rPr>
          <w:lang w:val="en-GB"/>
        </w:rPr>
      </w:pPr>
      <w:r w:rsidRPr="00836696">
        <w:rPr>
          <w:lang w:val="en-GB"/>
        </w:rPr>
        <w:t xml:space="preserve">The finite tap approximation of the ICI filter can be obtained from </w:t>
      </w:r>
      <w:r w:rsidRPr="00836696">
        <w:t>minimizing the following residue sum of squares:</w:t>
      </w:r>
    </w:p>
    <w:p w14:paraId="5C12A867" w14:textId="420B60A0" w:rsidR="00836696" w:rsidRPr="00836696" w:rsidRDefault="00B04ED4" w:rsidP="00836696">
      <w:pPr>
        <w:pStyle w:val="BodyText"/>
        <w:rPr>
          <w:lang w:val="en-GB"/>
        </w:rPr>
      </w:pPr>
      <m:oMathPara>
        <m:oMath>
          <m:sSup>
            <m:sSupPr>
              <m:ctrlPr>
                <w:rPr>
                  <w:rFonts w:ascii="Cambria Math" w:hAnsi="Cambria Math"/>
                  <w:b/>
                  <w:bCs/>
                  <w:i/>
                  <w:iCs/>
                </w:rPr>
              </m:ctrlPr>
            </m:sSupPr>
            <m:e>
              <m:d>
                <m:dPr>
                  <m:begChr m:val="‖"/>
                  <m:endChr m:val="‖"/>
                  <m:ctrlPr>
                    <w:rPr>
                      <w:rFonts w:ascii="Cambria Math" w:hAnsi="Cambria Math"/>
                      <w:b/>
                      <w:bCs/>
                      <w:i/>
                      <w:iCs/>
                    </w:rPr>
                  </m:ctrlPr>
                </m:dPr>
                <m:e>
                  <m:d>
                    <m:dPr>
                      <m:begChr m:val="["/>
                      <m:endChr m:val="]"/>
                      <m:ctrlPr>
                        <w:rPr>
                          <w:rFonts w:ascii="Cambria Math" w:hAnsi="Cambria Math"/>
                          <w:b/>
                          <w:bCs/>
                          <w:i/>
                          <w:iCs/>
                        </w:rPr>
                      </m:ctrlPr>
                    </m:dPr>
                    <m:e>
                      <m:m>
                        <m:mPr>
                          <m:mcs>
                            <m:mc>
                              <m:mcPr>
                                <m:count m:val="4"/>
                                <m:mcJc m:val="center"/>
                              </m:mcPr>
                            </m:mc>
                          </m:mcs>
                          <m:ctrlPr>
                            <w:rPr>
                              <w:rFonts w:ascii="Cambria Math" w:hAnsi="Cambria Math"/>
                              <w:b/>
                              <w:bCs/>
                              <w:i/>
                              <w:iCs/>
                            </w:rPr>
                          </m:ctrlPr>
                        </m:mPr>
                        <m:mr>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m:t>
                                </m:r>
                              </m:sub>
                            </m:sSub>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+2u-1</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+2u-1</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sub>
                            </m:sSub>
                          </m:e>
                        </m:mr>
                        <m:mr>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+2u+1</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+2u+1</m:t>
                                </m:r>
                              </m:sub>
                            </m:sSub>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+2u</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+1</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+1</m:t>
                                </m:r>
                              </m:sub>
                            </m:sSub>
                          </m:e>
                        </m:mr>
                        <m:mr>
                          <m:e>
                            <m:r>
                              <m:rPr>
                                <m:sty m:val="bi"/>
                              </m:rPr>
                              <w:rPr>
                                <w:rFonts w:ascii="Cambria Math" w:hAnsi="Cambria Math"/>
                              </w:rPr>
                              <m:t>⋮</m:t>
                            </m:r>
                          </m:e>
                          <m:e>
                            <m:r>
                              <m:rPr>
                                <m:sty m:val="bi"/>
                              </m:rPr>
                              <w:rPr>
                                <w:rFonts w:ascii="Cambria Math" w:hAnsi="Cambria Math"/>
                              </w:rPr>
                              <m:t>⋮</m:t>
                            </m:r>
                          </m:e>
                          <m:e>
                            <m:r>
                              <m:rPr>
                                <m:sty m:val="bi"/>
                              </m:rPr>
                              <w:rPr>
                                <w:rFonts w:ascii="Cambria Math" w:hAnsi="Cambria Math"/>
                              </w:rPr>
                              <m:t>⋱</m:t>
                            </m:r>
                          </m:e>
                          <m:e>
                            <m:r>
                              <m:rPr>
                                <m:sty m:val="bi"/>
                              </m:rPr>
                              <w:rPr>
                                <w:rFonts w:ascii="Cambria Math" w:hAnsi="Cambria Math"/>
                              </w:rPr>
                              <m:t>⋮</m:t>
                            </m:r>
                          </m:e>
                        </m:mr>
                        <m:mr>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lang w:val="en-GB"/>
                                  </w:rPr>
                                  <m:t>+M-1</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lang w:val="en-GB"/>
                                  </w:rPr>
                                  <m:t>+M-1</m:t>
                                </m:r>
                              </m:sub>
                            </m:sSub>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lang w:val="en-GB"/>
                                  </w:rPr>
                                  <m:t>+M-2</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lang w:val="en-GB"/>
                                  </w:rPr>
                                  <m:t>+M-2</m:t>
                                </m:r>
                              </m:sub>
                            </m:sSub>
                          </m:e>
                          <m:e>
                            <m:r>
                              <m:rPr>
                                <m:sty m:val="bi"/>
                              </m:rPr>
                              <w:rPr>
                                <w:rFonts w:ascii="Cambria Math" w:hAnsi="Cambria Math"/>
                              </w:rPr>
                              <m:t>⋯</m:t>
                            </m:r>
                          </m:e>
                          <m:e>
                            <m:sSub>
                              <m:sSubPr>
                                <m:ctrlPr>
                                  <w:rPr>
                                    <w:rFonts w:ascii="Cambria Math" w:hAnsi="Cambria Math"/>
                                    <w:i/>
                                    <w:iCs/>
                                  </w:rPr>
                                </m:ctrlPr>
                              </m:sSubPr>
                              <m:e>
                                <m:r>
                                  <w:rPr>
                                    <w:rFonts w:ascii="Cambria Math" w:hAnsi="Cambria Math"/>
                                  </w:rPr>
                                  <m:t>H</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lang w:val="en-GB"/>
                                  </w:rPr>
                                  <m:t>+M-2u-1</m:t>
                                </m:r>
                              </m:sub>
                            </m:sSub>
                            <m:sSub>
                              <m:sSubPr>
                                <m:ctrlPr>
                                  <w:rPr>
                                    <w:rFonts w:ascii="Cambria Math" w:hAnsi="Cambria Math"/>
                                    <w:i/>
                                    <w:iCs/>
                                  </w:rPr>
                                </m:ctrlPr>
                              </m:sSubPr>
                              <m:e>
                                <m:r>
                                  <w:rPr>
                                    <w:rFonts w:ascii="Cambria Math" w:hAnsi="Cambria Math"/>
                                  </w:rPr>
                                  <m:t>S</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lang w:val="en-GB"/>
                                  </w:rPr>
                                  <m:t>+M-2u-1</m:t>
                                </m:r>
                              </m:sub>
                            </m:sSub>
                          </m:e>
                        </m:mr>
                      </m:m>
                    </m:e>
                  </m:d>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b</m:t>
                              </m:r>
                            </m:e>
                            <m:sub>
                              <m:r>
                                <w:rPr>
                                  <w:rFonts w:ascii="Cambria Math" w:hAnsi="Cambria Math"/>
                                </w:rPr>
                                <m:t>-u</m:t>
                              </m:r>
                            </m:sub>
                          </m:sSub>
                        </m:e>
                        <m:e>
                          <m:sSub>
                            <m:sSubPr>
                              <m:ctrlPr>
                                <w:rPr>
                                  <w:rFonts w:ascii="Cambria Math" w:hAnsi="Cambria Math"/>
                                  <w:i/>
                                </w:rPr>
                              </m:ctrlPr>
                            </m:sSubPr>
                            <m:e>
                              <m:r>
                                <w:rPr>
                                  <w:rFonts w:ascii="Cambria Math" w:hAnsi="Cambria Math"/>
                                </w:rPr>
                                <m:t>b</m:t>
                              </m:r>
                            </m:e>
                            <m:sub>
                              <m:r>
                                <w:rPr>
                                  <w:rFonts w:ascii="Cambria Math" w:hAnsi="Cambria Math"/>
                                </w:rPr>
                                <m:t>-u+1</m:t>
                              </m:r>
                            </m:sub>
                          </m:sSub>
                        </m:e>
                        <m:e>
                          <m:r>
                            <m:rPr>
                              <m:sty m:val="bi"/>
                            </m:rPr>
                            <w:rPr>
                              <w:rFonts w:ascii="Cambria Math" w:hAnsi="Cambria Math"/>
                            </w:rPr>
                            <m:t>⋮</m:t>
                          </m:r>
                        </m:e>
                        <m:e>
                          <m:sSub>
                            <m:sSubPr>
                              <m:ctrlPr>
                                <w:rPr>
                                  <w:rFonts w:ascii="Cambria Math" w:hAnsi="Cambria Math"/>
                                  <w:i/>
                                </w:rPr>
                              </m:ctrlPr>
                            </m:sSubPr>
                            <m:e>
                              <m:r>
                                <w:rPr>
                                  <w:rFonts w:ascii="Cambria Math" w:hAnsi="Cambria Math"/>
                                </w:rPr>
                                <m:t>b</m:t>
                              </m:r>
                            </m:e>
                            <m:sub>
                              <m:r>
                                <w:rPr>
                                  <w:rFonts w:ascii="Cambria Math" w:hAnsi="Cambria Math"/>
                                </w:rPr>
                                <m:t>u</m:t>
                              </m:r>
                            </m:sub>
                          </m:sSub>
                        </m:e>
                      </m:eqAr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+u</m:t>
                              </m:r>
                            </m:sub>
                          </m:sSub>
                        </m:e>
                        <m:e>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+u+1</m:t>
                              </m:r>
                            </m:sub>
                          </m:sSub>
                        </m:e>
                        <m:e>
                          <m:r>
                            <m:rPr>
                              <m:sty m:val="bi"/>
                            </m:rPr>
                            <w:rPr>
                              <w:rFonts w:ascii="Cambria Math" w:hAnsi="Cambria Math"/>
                            </w:rPr>
                            <m:t>⋮</m:t>
                          </m:r>
                        </m:e>
                        <m:e>
                          <m:sSub>
                            <m:sSubPr>
                              <m:ctrlPr>
                                <w:rPr>
                                  <w:rFonts w:ascii="Cambria Math" w:hAnsi="Cambria Math"/>
                                  <w:i/>
                                </w:rPr>
                              </m:ctrlPr>
                            </m:sSubPr>
                            <m:e>
                              <m:r>
                                <w:rPr>
                                  <w:rFonts w:ascii="Cambria Math" w:hAnsi="Cambria Math"/>
                                </w:rPr>
                                <m:t>R</m:t>
                              </m:r>
                            </m:e>
                            <m:sub>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+M-u-1</m:t>
                              </m:r>
                            </m:sub>
                          </m:sSub>
                        </m:e>
                      </m:eqArr>
                    </m:e>
                  </m:d>
                </m:e>
              </m:d>
            </m:e>
            <m:sup>
              <m:r>
                <w:rPr>
                  <w:rFonts w:ascii="Cambria Math" w:hAnsi="Cambria Math"/>
                </w:rPr>
                <m:t>2</m:t>
              </m:r>
            </m:sup>
          </m:sSup>
          <m:r>
            <m:rPr>
              <m:sty m:val="bi"/>
            </m:rPr>
            <w:rPr>
              <w:rFonts w:ascii="Cambria Math" w:hAnsi="Cambria Math"/>
            </w:rPr>
            <m:t>≜</m:t>
          </m:r>
          <m:sSup>
            <m:sSupPr>
              <m:ctrlPr>
                <w:rPr>
                  <w:rFonts w:ascii="Cambria Math" w:hAnsi="Cambria Math"/>
                  <w:b/>
                  <w:bCs/>
                  <w:i/>
                  <w:iCs/>
                </w:rPr>
              </m:ctrlPr>
            </m:sSupPr>
            <m:e>
              <m:d>
                <m:dPr>
                  <m:begChr m:val="‖"/>
                  <m:endChr m:val="‖"/>
                  <m:ctrlPr>
                    <w:rPr>
                      <w:rFonts w:ascii="Cambria Math" w:hAnsi="Cambria Math"/>
                      <w:b/>
                      <w:bCs/>
                      <w:i/>
                      <w:iCs/>
                    </w:rPr>
                  </m:ctrlPr>
                </m:dPr>
                <m:e>
                  <m:sSub>
                    <m:sSubPr>
                      <m:ctrlPr>
                        <w:rPr>
                          <w:rFonts w:ascii="Cambria Math" w:hAnsi="Cambria Math"/>
                          <w:b/>
                          <w:bCs/>
                          <w:i/>
                          <w:iCs/>
                        </w:rPr>
                      </m:ctrlPr>
                    </m:sSubPr>
                    <m:e>
                      <m:r>
                        <m:rPr>
                          <m:sty m:val="b"/>
                        </m:rPr>
                        <w:rPr>
                          <w:rFonts w:ascii="Cambria Math" w:hAnsi="Cambria Math"/>
                        </w:rPr>
                        <m:t>X</m:t>
                      </m:r>
                    </m:e>
                    <m:sub>
                      <m:r>
                        <w:rPr>
                          <w:rFonts w:ascii="Cambria Math" w:hAnsi="Cambria Math"/>
                        </w:rPr>
                        <m:t>u</m:t>
                      </m:r>
                    </m:sub>
                  </m:sSub>
                  <m:sSub>
                    <m:sSubPr>
                      <m:ctrlPr>
                        <w:rPr>
                          <w:rFonts w:ascii="Cambria Math" w:hAnsi="Cambria Math"/>
                          <w:b/>
                          <w:bCs/>
                        </w:rPr>
                      </m:ctrlPr>
                    </m:sSubPr>
                    <m:e>
                      <m:r>
                        <m:rPr>
                          <m:sty m:val="b"/>
                        </m:rPr>
                        <w:rPr>
                          <w:rFonts w:ascii="Cambria Math" w:hAnsi="Cambria Math"/>
                        </w:rPr>
                        <m:t>b</m:t>
                      </m:r>
                    </m:e>
                    <m:sub>
                      <m:r>
                        <m:rPr>
                          <m:sty m:val="p"/>
                        </m:rPr>
                        <w:rPr>
                          <w:rFonts w:ascii="Cambria Math" w:hAnsi="Cambria Math"/>
                        </w:rPr>
                        <m:t>u</m:t>
                      </m:r>
                    </m:sub>
                  </m:sSub>
                  <m:r>
                    <m:rPr>
                      <m:sty m:val="bi"/>
                    </m:rPr>
                    <w:rPr>
                      <w:rFonts w:ascii="Cambria Math" w:hAnsi="Cambria Math"/>
                    </w:rPr>
                    <m:t>-</m:t>
                  </m:r>
                  <m:sSub>
                    <m:sSubPr>
                      <m:ctrlPr>
                        <w:rPr>
                          <w:rFonts w:ascii="Cambria Math" w:hAnsi="Cambria Math"/>
                          <w:b/>
                          <w:bCs/>
                          <w:i/>
                          <w:iCs/>
                        </w:rPr>
                      </m:ctrlPr>
                    </m:sSubPr>
                    <m:e>
                      <m:r>
                        <m:rPr>
                          <m:sty m:val="b"/>
                        </m:rPr>
                        <w:rPr>
                          <w:rFonts w:ascii="Cambria Math" w:hAnsi="Cambria Math"/>
                        </w:rPr>
                        <m:t>r</m:t>
                      </m:r>
                    </m:e>
                    <m:sub>
                      <m:r>
                        <w:rPr>
                          <w:rFonts w:ascii="Cambria Math" w:hAnsi="Cambria Math"/>
                        </w:rPr>
                        <m:t>u</m:t>
                      </m:r>
                    </m:sub>
                  </m:sSub>
                </m:e>
              </m:d>
            </m:e>
            <m:sup>
              <m:r>
                <w:rPr>
                  <w:rFonts w:ascii="Cambria Math" w:hAnsi="Cambria Math"/>
                </w:rPr>
                <m:t>2</m:t>
              </m:r>
            </m:sup>
          </m:sSup>
        </m:oMath>
      </m:oMathPara>
    </w:p>
    <w:p w14:paraId="52D35AFF" w14:textId="77777777" w:rsidR="00836696" w:rsidRPr="00836696" w:rsidRDefault="00836696" w:rsidP="00836696">
      <w:pPr>
        <w:pStyle w:val="BodyText"/>
      </w:pPr>
      <w:r w:rsidRPr="00836696">
        <w:t>This is a least square problem with solution given by</w:t>
      </w:r>
    </w:p>
    <w:p w14:paraId="1156D1D7" w14:textId="73588B35" w:rsidR="00836696" w:rsidRPr="00836696" w:rsidRDefault="00B04ED4" w:rsidP="00836696">
      <w:pPr>
        <w:pStyle w:val="BodyText"/>
        <w:rPr>
          <w:b/>
          <w:bCs/>
        </w:rPr>
      </w:pPr>
      <m:oMathPara>
        <m:oMath>
          <m:sSub>
            <m:sSubPr>
              <m:ctrlPr>
                <w:rPr>
                  <w:rFonts w:ascii="Cambria Math" w:hAnsi="Cambria Math"/>
                  <w:i/>
                </w:rPr>
              </m:ctrlPr>
            </m:sSubPr>
            <m:e>
              <m:acc>
                <m:accPr>
                  <m:ctrlPr>
                    <w:rPr>
                      <w:rFonts w:ascii="Cambria Math" w:hAnsi="Cambria Math"/>
                      <w:i/>
                    </w:rPr>
                  </m:ctrlPr>
                </m:accPr>
                <m:e>
                  <m:r>
                    <m:rPr>
                      <m:sty m:val="b"/>
                    </m:rPr>
                    <w:rPr>
                      <w:rFonts w:ascii="Cambria Math" w:hAnsi="Cambria Math"/>
                    </w:rPr>
                    <m:t>b</m:t>
                  </m:r>
                </m:e>
              </m:acc>
            </m:e>
            <m:sub>
              <m:r>
                <w:rPr>
                  <w:rFonts w:ascii="Cambria Math" w:hAnsi="Cambria Math"/>
                </w:rPr>
                <m:t>u</m:t>
              </m:r>
            </m:sub>
          </m:sSub>
          <m:r>
            <m:rPr>
              <m:sty m:val="bi"/>
            </m:rPr>
            <w:rPr>
              <w:rFonts w:ascii="Cambria Math" w:hAnsi="Cambria Math"/>
            </w:rPr>
            <m:t>=</m:t>
          </m:r>
          <m:sSup>
            <m:sSupPr>
              <m:ctrlPr>
                <w:rPr>
                  <w:rFonts w:ascii="Cambria Math" w:hAnsi="Cambria Math"/>
                  <w:b/>
                  <w:bCs/>
                  <w:i/>
                  <w:iCs/>
                </w:rPr>
              </m:ctrlPr>
            </m:sSupPr>
            <m:e>
              <m:d>
                <m:dPr>
                  <m:ctrlPr>
                    <w:rPr>
                      <w:rFonts w:ascii="Cambria Math" w:hAnsi="Cambria Math"/>
                      <w:b/>
                      <w:bCs/>
                      <w:i/>
                      <w:iCs/>
                    </w:rPr>
                  </m:ctrlPr>
                </m:dPr>
                <m:e>
                  <m:sSubSup>
                    <m:sSubSupPr>
                      <m:ctrlPr>
                        <w:rPr>
                          <w:rFonts w:ascii="Cambria Math" w:hAnsi="Cambria Math"/>
                          <w:b/>
                          <w:bCs/>
                        </w:rPr>
                      </m:ctrlPr>
                    </m:sSubSupPr>
                    <m:e>
                      <m:r>
                        <m:rPr>
                          <m:sty m:val="b"/>
                        </m:rPr>
                        <w:rPr>
                          <w:rFonts w:ascii="Cambria Math" w:hAnsi="Cambria Math"/>
                        </w:rPr>
                        <m:t>X</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X</m:t>
                      </m:r>
                    </m:e>
                    <m:sub>
                      <m:r>
                        <w:rPr>
                          <w:rFonts w:ascii="Cambria Math" w:hAnsi="Cambria Math"/>
                        </w:rPr>
                        <m:t>u</m:t>
                      </m:r>
                    </m:sub>
                  </m:sSub>
                </m:e>
              </m:d>
            </m:e>
            <m:sup>
              <m:r>
                <w:rPr>
                  <w:rFonts w:ascii="Cambria Math" w:hAnsi="Cambria Math"/>
                </w:rPr>
                <m:t>-1</m:t>
              </m:r>
            </m:sup>
          </m:sSup>
          <m:sSubSup>
            <m:sSubSupPr>
              <m:ctrlPr>
                <w:rPr>
                  <w:rFonts w:ascii="Cambria Math" w:hAnsi="Cambria Math"/>
                  <w:b/>
                  <w:bCs/>
                </w:rPr>
              </m:ctrlPr>
            </m:sSubSupPr>
            <m:e>
              <m:r>
                <m:rPr>
                  <m:sty m:val="b"/>
                </m:rPr>
                <w:rPr>
                  <w:rFonts w:ascii="Cambria Math" w:hAnsi="Cambria Math"/>
                </w:rPr>
                <m:t>X</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rPr>
              </m:ctrlPr>
            </m:sSubPr>
            <m:e>
              <m:r>
                <m:rPr>
                  <m:sty m:val="b"/>
                </m:rPr>
                <w:rPr>
                  <w:rFonts w:ascii="Cambria Math" w:hAnsi="Cambria Math"/>
                </w:rPr>
                <m:t>r</m:t>
              </m:r>
            </m:e>
            <m:sub>
              <m:r>
                <w:rPr>
                  <w:rFonts w:ascii="Cambria Math" w:hAnsi="Cambria Math"/>
                </w:rPr>
                <m:t>u</m:t>
              </m:r>
            </m:sub>
          </m:sSub>
          <m:r>
            <w:rPr>
              <w:rFonts w:ascii="Cambria Math" w:hAnsi="Cambria Math"/>
            </w:rPr>
            <m:t>.</m:t>
          </m:r>
        </m:oMath>
      </m:oMathPara>
    </w:p>
    <w:p w14:paraId="4ABCD97B" w14:textId="773E02AF" w:rsidR="00836696" w:rsidRPr="00836696" w:rsidRDefault="00836696" w:rsidP="00836696">
      <w:pPr>
        <w:pStyle w:val="BodyText"/>
      </w:pPr>
      <w:r w:rsidRPr="00836696">
        <w:t xml:space="preserve">The dimension of the matrix </w:t>
      </w:r>
      <m:oMath>
        <m:sSubSup>
          <m:sSubSupPr>
            <m:ctrlPr>
              <w:rPr>
                <w:rFonts w:ascii="Cambria Math" w:hAnsi="Cambria Math"/>
                <w:b/>
                <w:bCs/>
              </w:rPr>
            </m:ctrlPr>
          </m:sSubSupPr>
          <m:e>
            <m:r>
              <m:rPr>
                <m:sty m:val="b"/>
              </m:rPr>
              <w:rPr>
                <w:rFonts w:ascii="Cambria Math" w:hAnsi="Cambria Math"/>
              </w:rPr>
              <m:t>X</m:t>
            </m:r>
          </m:e>
          <m:sub>
            <m:r>
              <w:rPr>
                <w:rFonts w:ascii="Cambria Math" w:hAnsi="Cambria Math"/>
              </w:rPr>
              <m:t>u</m:t>
            </m:r>
          </m:sub>
          <m:sup>
            <m:r>
              <w:rPr>
                <w:rFonts w:ascii="Cambria Math" w:hAnsi="Cambria Math"/>
              </w:rPr>
              <m:t>H</m:t>
            </m:r>
            <m:ctrlPr>
              <w:rPr>
                <w:rFonts w:ascii="Cambria Math" w:hAnsi="Cambria Math"/>
              </w:rPr>
            </m:ctrlPr>
          </m:sup>
        </m:sSubSup>
        <m:sSub>
          <m:sSubPr>
            <m:ctrlPr>
              <w:rPr>
                <w:rFonts w:ascii="Cambria Math" w:hAnsi="Cambria Math"/>
                <w:b/>
                <w:bCs/>
              </w:rPr>
            </m:ctrlPr>
          </m:sSubPr>
          <m:e>
            <m:r>
              <m:rPr>
                <m:sty m:val="b"/>
              </m:rPr>
              <w:rPr>
                <w:rFonts w:ascii="Cambria Math" w:hAnsi="Cambria Math"/>
              </w:rPr>
              <m:t>X</m:t>
            </m:r>
          </m:e>
          <m:sub>
            <m:r>
              <w:rPr>
                <w:rFonts w:ascii="Cambria Math" w:hAnsi="Cambria Math"/>
              </w:rPr>
              <m:t>u</m:t>
            </m:r>
          </m:sub>
        </m:sSub>
      </m:oMath>
      <w:r w:rsidRPr="00836696">
        <w:t xml:space="preserve"> is also </w:t>
      </w:r>
      <m:oMath>
        <m:d>
          <m:dPr>
            <m:ctrlPr>
              <w:rPr>
                <w:rFonts w:ascii="Cambria Math" w:hAnsi="Cambria Math"/>
                <w:i/>
                <w:lang w:val="en-GB"/>
              </w:rPr>
            </m:ctrlPr>
          </m:dPr>
          <m:e>
            <m:r>
              <w:rPr>
                <w:rFonts w:ascii="Cambria Math" w:hAnsi="Cambria Math"/>
                <w:lang w:val="en-GB"/>
              </w:rPr>
              <m:t>2u+1</m:t>
            </m:r>
          </m:e>
        </m:d>
        <m:r>
          <w:rPr>
            <w:rFonts w:ascii="Cambria Math" w:hAnsi="Cambria Math"/>
            <w:lang w:val="en-GB"/>
          </w:rPr>
          <m:t>×</m:t>
        </m:r>
        <m:d>
          <m:dPr>
            <m:ctrlPr>
              <w:rPr>
                <w:rFonts w:ascii="Cambria Math" w:hAnsi="Cambria Math"/>
                <w:i/>
                <w:lang w:val="en-GB"/>
              </w:rPr>
            </m:ctrlPr>
          </m:dPr>
          <m:e>
            <m:r>
              <w:rPr>
                <w:rFonts w:ascii="Cambria Math" w:hAnsi="Cambria Math"/>
                <w:lang w:val="en-GB"/>
              </w:rPr>
              <m:t>2u+1</m:t>
            </m:r>
          </m:e>
        </m:d>
      </m:oMath>
      <w:r w:rsidRPr="00836696">
        <w:t xml:space="preserve">. To avoid the least square problem becoming under-determined, it is necessary that </w:t>
      </w:r>
      <m:oMath>
        <m:r>
          <w:rPr>
            <w:rFonts w:ascii="Cambria Math" w:hAnsi="Cambria Math"/>
          </w:rPr>
          <m:t>M-2u≥2u+1</m:t>
        </m:r>
      </m:oMath>
      <w:r w:rsidRPr="00836696">
        <w:t xml:space="preserve">. That is, to estimate a </w:t>
      </w:r>
      <m:oMath>
        <m:d>
          <m:dPr>
            <m:ctrlPr>
              <w:rPr>
                <w:rFonts w:ascii="Cambria Math" w:hAnsi="Cambria Math"/>
                <w:i/>
              </w:rPr>
            </m:ctrlPr>
          </m:dPr>
          <m:e>
            <m:r>
              <w:rPr>
                <w:rFonts w:ascii="Cambria Math" w:hAnsi="Cambria Math"/>
              </w:rPr>
              <m:t>2u+1</m:t>
            </m:r>
          </m:e>
        </m:d>
      </m:oMath>
      <w:r w:rsidRPr="00836696">
        <w:t xml:space="preserve">-tap approximation of the ICI filter, the block size of contiguous known symbols should satisfy </w:t>
      </w:r>
      <m:oMath>
        <m:r>
          <w:rPr>
            <w:rFonts w:ascii="Cambria Math" w:hAnsi="Cambria Math"/>
          </w:rPr>
          <m:t>M≥4u+1</m:t>
        </m:r>
      </m:oMath>
      <w:r w:rsidRPr="00836696">
        <w:t xml:space="preserve"> and therefore must at lea</w:t>
      </w:r>
      <w:proofErr w:type="spellStart"/>
      <w:r w:rsidRPr="00836696">
        <w:t>st</w:t>
      </w:r>
      <w:proofErr w:type="spellEnd"/>
      <w:r w:rsidRPr="00836696">
        <w:t xml:space="preserve"> be roughly twice the length of the estimated ICI filter.</w:t>
      </w:r>
    </w:p>
    <w:p w14:paraId="49F01C40" w14:textId="7D08970E" w:rsidR="00836696" w:rsidRPr="00836696" w:rsidRDefault="00836696" w:rsidP="00836696">
      <w:pPr>
        <w:pStyle w:val="BodyText"/>
        <w:rPr>
          <w:lang w:val="en-GB"/>
        </w:rPr>
      </w:pPr>
      <w:r w:rsidRPr="00836696">
        <w:rPr>
          <w:lang w:val="en-GB"/>
        </w:rPr>
        <w:t xml:space="preserve">To compensate the ICI </w:t>
      </w:r>
      <w:r w:rsidRPr="00836696">
        <w:fldChar w:fldCharType="begin"/>
      </w:r>
      <w:r w:rsidRPr="00836696">
        <w:instrText xml:space="preserve"> REF _Ref47085970 \r \h </w:instrText>
      </w:r>
      <w:r w:rsidRPr="00836696">
        <w:fldChar w:fldCharType="separate"/>
      </w:r>
      <w:r w:rsidR="00BE31F7">
        <w:t>[6]</w:t>
      </w:r>
      <w:r w:rsidRPr="00836696">
        <w:rPr>
          <w:lang w:val="en-GB"/>
        </w:rPr>
        <w:fldChar w:fldCharType="end"/>
      </w:r>
      <w:r w:rsidR="0036793D">
        <w:fldChar w:fldCharType="begin"/>
      </w:r>
      <w:r w:rsidR="0036793D">
        <w:instrText xml:space="preserve"> REF _Ref53396834 \r \h </w:instrText>
      </w:r>
      <w:r w:rsidR="0036793D">
        <w:fldChar w:fldCharType="separate"/>
      </w:r>
      <w:r w:rsidR="00BE31F7">
        <w:t>[23]</w:t>
      </w:r>
      <w:r w:rsidR="0036793D">
        <w:fldChar w:fldCharType="end"/>
      </w:r>
      <w:r w:rsidRPr="00836696">
        <w:rPr>
          <w:lang w:val="en-GB"/>
        </w:rPr>
        <w:t xml:space="preserve">, the received signal </w:t>
      </w:r>
      <m:oMath>
        <m:r>
          <w:rPr>
            <w:rFonts w:ascii="Cambria Math" w:hAnsi="Cambria Math"/>
            <w:lang w:val="en-GB"/>
          </w:rPr>
          <m:t>{</m:t>
        </m:r>
        <m:sSub>
          <m:sSubPr>
            <m:ctrlPr>
              <w:rPr>
                <w:rFonts w:ascii="Cambria Math" w:hAnsi="Cambria Math"/>
                <w:i/>
                <w:lang w:val="en-GB"/>
              </w:rPr>
            </m:ctrlPr>
          </m:sSubPr>
          <m:e>
            <m:r>
              <w:rPr>
                <w:rFonts w:ascii="Cambria Math" w:hAnsi="Cambria Math"/>
                <w:lang w:val="en-GB"/>
              </w:rPr>
              <m:t>R</m:t>
            </m:r>
          </m:e>
          <m:sub>
            <m:r>
              <w:rPr>
                <w:rFonts w:ascii="Cambria Math" w:hAnsi="Cambria Math"/>
                <w:lang w:val="en-GB"/>
              </w:rPr>
              <m:t>k</m:t>
            </m:r>
          </m:sub>
        </m:sSub>
        <m:r>
          <w:rPr>
            <w:rFonts w:ascii="Cambria Math" w:hAnsi="Cambria Math"/>
            <w:lang w:val="en-GB"/>
          </w:rPr>
          <m:t>}</m:t>
        </m:r>
      </m:oMath>
      <w:r w:rsidRPr="00836696">
        <w:rPr>
          <w:lang w:val="en-GB"/>
        </w:rPr>
        <w:t xml:space="preserve"> is filtered by the conjugate-reverse of the estimated filter coefficients </w:t>
      </w:r>
      <m:oMath>
        <m:r>
          <w:rPr>
            <w:rFonts w:ascii="Cambria Math" w:hAnsi="Cambria Math"/>
            <w:lang w:val="en-GB"/>
          </w:rPr>
          <m:t>{</m:t>
        </m:r>
        <m:sSubSup>
          <m:sSubSupPr>
            <m:ctrlPr>
              <w:rPr>
                <w:rFonts w:ascii="Cambria Math" w:hAnsi="Cambria Math"/>
                <w:i/>
                <w:lang w:val="en-GB"/>
              </w:rPr>
            </m:ctrlPr>
          </m:sSubSupPr>
          <m:e>
            <m:acc>
              <m:accPr>
                <m:ctrlPr>
                  <w:rPr>
                    <w:rFonts w:ascii="Cambria Math" w:hAnsi="Cambria Math"/>
                    <w:i/>
                    <w:lang w:val="en-GB"/>
                  </w:rPr>
                </m:ctrlPr>
              </m:accPr>
              <m:e>
                <m:r>
                  <w:rPr>
                    <w:rFonts w:ascii="Cambria Math" w:hAnsi="Cambria Math"/>
                    <w:lang w:val="en-GB"/>
                  </w:rPr>
                  <m:t>b</m:t>
                </m:r>
              </m:e>
            </m:acc>
          </m:e>
          <m:sub>
            <m:r>
              <w:rPr>
                <w:rFonts w:ascii="Cambria Math" w:hAnsi="Cambria Math"/>
                <w:lang w:val="en-GB"/>
              </w:rPr>
              <m:t>u</m:t>
            </m:r>
          </m:sub>
          <m:sup>
            <m:r>
              <w:rPr>
                <w:rFonts w:ascii="Cambria Math" w:hAnsi="Cambria Math"/>
                <w:lang w:val="en-GB"/>
              </w:rPr>
              <m:t>*</m:t>
            </m:r>
          </m:sup>
        </m:sSubSup>
        <m:r>
          <w:rPr>
            <w:rFonts w:ascii="Cambria Math" w:hAnsi="Cambria Math"/>
          </w:rPr>
          <m:t>,</m:t>
        </m:r>
        <m:sSubSup>
          <m:sSubSupPr>
            <m:ctrlPr>
              <w:rPr>
                <w:rFonts w:ascii="Cambria Math" w:hAnsi="Cambria Math"/>
                <w:i/>
                <w:lang w:val="en-GB"/>
              </w:rPr>
            </m:ctrlPr>
          </m:sSubSupPr>
          <m:e>
            <m:acc>
              <m:accPr>
                <m:ctrlPr>
                  <w:rPr>
                    <w:rFonts w:ascii="Cambria Math" w:hAnsi="Cambria Math"/>
                    <w:i/>
                    <w:lang w:val="en-GB"/>
                  </w:rPr>
                </m:ctrlPr>
              </m:accPr>
              <m:e>
                <m:r>
                  <w:rPr>
                    <w:rFonts w:ascii="Cambria Math" w:hAnsi="Cambria Math"/>
                    <w:lang w:val="en-GB"/>
                  </w:rPr>
                  <m:t>b</m:t>
                </m:r>
              </m:e>
            </m:acc>
          </m:e>
          <m:sub>
            <m:r>
              <w:rPr>
                <w:rFonts w:ascii="Cambria Math" w:hAnsi="Cambria Math"/>
                <w:lang w:val="en-GB"/>
              </w:rPr>
              <m:t>u-1</m:t>
            </m:r>
          </m:sub>
          <m:sup>
            <m:r>
              <w:rPr>
                <w:rFonts w:ascii="Cambria Math" w:hAnsi="Cambria Math"/>
                <w:lang w:val="en-GB"/>
              </w:rPr>
              <m:t>*</m:t>
            </m:r>
          </m:sup>
        </m:sSubSup>
        <m:r>
          <w:rPr>
            <w:rFonts w:ascii="Cambria Math" w:hAnsi="Cambria Math"/>
          </w:rPr>
          <m:t xml:space="preserve">, …, </m:t>
        </m:r>
        <m:sSubSup>
          <m:sSubSupPr>
            <m:ctrlPr>
              <w:rPr>
                <w:rFonts w:ascii="Cambria Math" w:hAnsi="Cambria Math"/>
                <w:i/>
                <w:lang w:val="en-GB"/>
              </w:rPr>
            </m:ctrlPr>
          </m:sSubSupPr>
          <m:e>
            <m:acc>
              <m:accPr>
                <m:ctrlPr>
                  <w:rPr>
                    <w:rFonts w:ascii="Cambria Math" w:hAnsi="Cambria Math"/>
                    <w:i/>
                    <w:lang w:val="en-GB"/>
                  </w:rPr>
                </m:ctrlPr>
              </m:accPr>
              <m:e>
                <m:r>
                  <w:rPr>
                    <w:rFonts w:ascii="Cambria Math" w:hAnsi="Cambria Math"/>
                    <w:lang w:val="en-GB"/>
                  </w:rPr>
                  <m:t>b</m:t>
                </m:r>
              </m:e>
            </m:acc>
          </m:e>
          <m:sub>
            <m:r>
              <w:rPr>
                <w:rFonts w:ascii="Cambria Math" w:hAnsi="Cambria Math"/>
                <w:lang w:val="en-GB"/>
              </w:rPr>
              <m:t>-u</m:t>
            </m:r>
          </m:sub>
          <m:sup>
            <m:r>
              <w:rPr>
                <w:rFonts w:ascii="Cambria Math" w:hAnsi="Cambria Math"/>
                <w:lang w:val="en-GB"/>
              </w:rPr>
              <m:t>*</m:t>
            </m:r>
          </m:sup>
        </m:sSubSup>
        <m:r>
          <w:rPr>
            <w:rFonts w:ascii="Cambria Math" w:hAnsi="Cambria Math"/>
          </w:rPr>
          <m:t>}</m:t>
        </m:r>
      </m:oMath>
      <w:r w:rsidRPr="00836696">
        <w:t xml:space="preserve"> and then fed to the OFDM demodulator. This implicitly assumes the convolution of the true ICI filter </w:t>
      </w:r>
      <m:oMath>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i</m:t>
            </m:r>
          </m:sub>
        </m:sSub>
        <m:r>
          <w:rPr>
            <w:rFonts w:ascii="Cambria Math" w:hAnsi="Cambria Math"/>
          </w:rPr>
          <m:t>}</m:t>
        </m:r>
      </m:oMath>
      <w:r w:rsidRPr="00836696">
        <w:t xml:space="preserve"> and the conjugate reverse of the estimated ICI filter is approximately a unit impulse response </w:t>
      </w:r>
      <w:r w:rsidRPr="00836696">
        <w:fldChar w:fldCharType="begin"/>
      </w:r>
      <w:r w:rsidRPr="00836696">
        <w:instrText xml:space="preserve"> REF _Ref47085970 \r \h </w:instrText>
      </w:r>
      <w:r w:rsidRPr="00836696">
        <w:fldChar w:fldCharType="separate"/>
      </w:r>
      <w:r w:rsidR="00BE31F7">
        <w:t>[6]</w:t>
      </w:r>
      <w:r w:rsidRPr="00836696">
        <w:rPr>
          <w:lang w:val="en-GB"/>
        </w:rPr>
        <w:fldChar w:fldCharType="end"/>
      </w:r>
      <w:r w:rsidRPr="00836696">
        <w:t>.</w:t>
      </w:r>
    </w:p>
    <w:p w14:paraId="1E5806BF" w14:textId="5E77D585" w:rsidR="00A0766B" w:rsidRPr="00D55D0C" w:rsidRDefault="002B0B22" w:rsidP="002B0B22">
      <w:pPr>
        <w:pStyle w:val="BodyText"/>
        <w:rPr>
          <w:lang w:val="en-GB"/>
        </w:rPr>
      </w:pPr>
      <w:r w:rsidRPr="00D55D0C">
        <w:rPr>
          <w:lang w:val="en-GB"/>
        </w:rPr>
        <w:t xml:space="preserve">Unlike the direct de-ICI filtering approach in </w:t>
      </w:r>
      <w:r w:rsidR="003A49C9">
        <w:t>Section 3.3.2</w:t>
      </w:r>
      <w:r w:rsidRPr="00D55D0C">
        <w:rPr>
          <w:lang w:val="en-GB"/>
        </w:rPr>
        <w:t>, in order for the ICI filter estimation approach to work, the PT-RSs need to be organized differently than the distributed structure in Rel-15 NR. As proposed in</w:t>
      </w:r>
      <w:r w:rsidR="006A0399">
        <w:rPr>
          <w:lang w:val="en-GB"/>
        </w:rPr>
        <w:t xml:space="preserve"> </w:t>
      </w:r>
      <w:r w:rsidR="006A0399">
        <w:rPr>
          <w:lang w:val="en-GB"/>
        </w:rPr>
        <w:fldChar w:fldCharType="begin"/>
      </w:r>
      <w:r w:rsidR="006A0399">
        <w:rPr>
          <w:lang w:val="en-GB"/>
        </w:rPr>
        <w:instrText xml:space="preserve"> REF _Ref53396834 \r \h </w:instrText>
      </w:r>
      <w:r w:rsidR="006A0399">
        <w:rPr>
          <w:lang w:val="en-GB"/>
        </w:rPr>
      </w:r>
      <w:r w:rsidR="006A0399">
        <w:rPr>
          <w:lang w:val="en-GB"/>
        </w:rPr>
        <w:fldChar w:fldCharType="separate"/>
      </w:r>
      <w:r w:rsidR="00BE31F7">
        <w:rPr>
          <w:lang w:val="en-GB"/>
        </w:rPr>
        <w:t>[23]</w:t>
      </w:r>
      <w:r w:rsidR="006A0399">
        <w:rPr>
          <w:lang w:val="en-GB"/>
        </w:rPr>
        <w:fldChar w:fldCharType="end"/>
      </w:r>
      <w:r w:rsidRPr="00D55D0C">
        <w:rPr>
          <w:lang w:val="en-GB"/>
        </w:rPr>
        <w:t xml:space="preserve">, PT-RSs should be clustered into blocks. One straightforward solution is to have a cluster with as many PT-RSs as in Rel-15 NR. However, for a dispersive channel, it would be beneficial to have several clusters (with fewer PT-RSs each) that are separated in the frequency domain to capture frequency diversity. As illustrated in </w:t>
      </w:r>
      <w:r w:rsidRPr="00D55D0C">
        <w:rPr>
          <w:lang w:val="en-GB"/>
        </w:rPr>
        <w:fldChar w:fldCharType="begin"/>
      </w:r>
      <w:r w:rsidRPr="00D55D0C">
        <w:rPr>
          <w:lang w:val="en-GB"/>
        </w:rPr>
        <w:instrText xml:space="preserve"> REF _Ref47619350 \h  \* MERGEFORMAT </w:instrText>
      </w:r>
      <w:r w:rsidRPr="00D55D0C">
        <w:rPr>
          <w:lang w:val="en-GB"/>
        </w:rPr>
      </w:r>
      <w:r w:rsidRPr="00D55D0C">
        <w:rPr>
          <w:lang w:val="en-GB"/>
        </w:rPr>
        <w:fldChar w:fldCharType="separate"/>
      </w:r>
      <w:r w:rsidR="00BE31F7" w:rsidRPr="00D93EC2">
        <w:rPr>
          <w:rFonts w:cs="Arial"/>
        </w:rPr>
        <w:t xml:space="preserve">Figure </w:t>
      </w:r>
      <w:r w:rsidR="00BE31F7" w:rsidRPr="00BE31F7">
        <w:rPr>
          <w:noProof/>
        </w:rPr>
        <w:t>41</w:t>
      </w:r>
      <w:r w:rsidRPr="00D55D0C">
        <w:rPr>
          <w:lang w:val="en-GB"/>
        </w:rPr>
        <w:fldChar w:fldCharType="end"/>
      </w:r>
      <w:r w:rsidRPr="00D55D0C">
        <w:rPr>
          <w:lang w:val="en-GB"/>
        </w:rPr>
        <w:t>, we investigate this generalized clustered PT-RS structure where there are N PT-RS clusters and each cluster consists of M PT-RSs.</w:t>
      </w:r>
    </w:p>
    <w:p w14:paraId="071B0F30" w14:textId="77777777" w:rsidR="00495187" w:rsidRPr="00D55D0C" w:rsidRDefault="00495187" w:rsidP="002B0B22">
      <w:pPr>
        <w:pStyle w:val="BodyText"/>
        <w:rPr>
          <w:lang w:val="en-GB"/>
        </w:rPr>
      </w:pPr>
    </w:p>
    <w:p w14:paraId="284DD975" w14:textId="0ACF9A0A" w:rsidR="002B0B22" w:rsidRPr="00D55D0C" w:rsidRDefault="5B0DE8DF" w:rsidP="002B0B22">
      <w:pPr>
        <w:pStyle w:val="BodyText"/>
        <w:keepNext/>
        <w:jc w:val="center"/>
      </w:pPr>
      <w:r>
        <w:rPr>
          <w:noProof/>
        </w:rPr>
        <w:drawing>
          <wp:inline distT="0" distB="0" distL="0" distR="0" wp14:anchorId="02337742" wp14:editId="2CFEBCE5">
            <wp:extent cx="3474720" cy="2077346"/>
            <wp:effectExtent l="0" t="0" r="0" b="0"/>
            <wp:docPr id="1646987635" name="Picture 1646987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987635"/>
                    <pic:cNvPicPr/>
                  </pic:nvPicPr>
                  <pic:blipFill>
                    <a:blip r:embed="rId69">
                      <a:extLst>
                        <a:ext uri="{28A0092B-C50C-407E-A947-70E740481C1C}">
                          <a14:useLocalDpi xmlns:a14="http://schemas.microsoft.com/office/drawing/2010/main" val="0"/>
                        </a:ext>
                      </a:extLst>
                    </a:blip>
                    <a:stretch>
                      <a:fillRect/>
                    </a:stretch>
                  </pic:blipFill>
                  <pic:spPr>
                    <a:xfrm>
                      <a:off x="0" y="0"/>
                      <a:ext cx="3474720" cy="2077346"/>
                    </a:xfrm>
                    <a:prstGeom prst="rect">
                      <a:avLst/>
                    </a:prstGeom>
                  </pic:spPr>
                </pic:pic>
              </a:graphicData>
            </a:graphic>
          </wp:inline>
        </w:drawing>
      </w:r>
    </w:p>
    <w:p w14:paraId="4D9C2C2E" w14:textId="72036175" w:rsidR="002B0B22" w:rsidRPr="003C2819" w:rsidRDefault="002B0B22" w:rsidP="002B0B22">
      <w:pPr>
        <w:pStyle w:val="Caption"/>
        <w:jc w:val="center"/>
        <w:rPr>
          <w:rFonts w:ascii="Arial" w:hAnsi="Arial" w:cs="Arial"/>
        </w:rPr>
      </w:pPr>
      <w:bookmarkStart w:id="650" w:name="_Ref47619350"/>
      <w:r w:rsidRPr="00D93EC2">
        <w:rPr>
          <w:rFonts w:ascii="Arial" w:hAnsi="Arial" w:cs="Arial"/>
        </w:rPr>
        <w:t xml:space="preserve">Figure </w:t>
      </w:r>
      <w:r>
        <w:rPr>
          <w:rFonts w:ascii="Arial" w:hAnsi="Arial" w:cs="Arial"/>
        </w:rPr>
        <w:fldChar w:fldCharType="begin"/>
      </w:r>
      <w:r w:rsidRPr="00D93EC2">
        <w:rPr>
          <w:rFonts w:ascii="Arial" w:hAnsi="Arial" w:cs="Arial"/>
        </w:rPr>
        <w:instrText xml:space="preserve"> SEQ Figure \* ARABIC </w:instrText>
      </w:r>
      <w:r>
        <w:rPr>
          <w:rFonts w:ascii="Arial" w:hAnsi="Arial" w:cs="Arial"/>
        </w:rPr>
        <w:fldChar w:fldCharType="separate"/>
      </w:r>
      <w:r w:rsidR="00BE31F7">
        <w:rPr>
          <w:rFonts w:ascii="Arial" w:hAnsi="Arial" w:cs="Arial"/>
          <w:noProof/>
        </w:rPr>
        <w:t>41</w:t>
      </w:r>
      <w:r>
        <w:rPr>
          <w:rFonts w:ascii="Arial" w:hAnsi="Arial" w:cs="Arial"/>
        </w:rPr>
        <w:fldChar w:fldCharType="end"/>
      </w:r>
      <w:bookmarkEnd w:id="650"/>
      <w:r w:rsidRPr="00D93EC2">
        <w:rPr>
          <w:rFonts w:ascii="Arial" w:hAnsi="Arial" w:cs="Arial"/>
        </w:rPr>
        <w:t>: Clustered PT-RS structure in one OFDM symbol</w:t>
      </w:r>
    </w:p>
    <w:p w14:paraId="7B57AFE8" w14:textId="77777777" w:rsidR="002B0B22" w:rsidRPr="00D55D0C" w:rsidRDefault="002B0B22" w:rsidP="002B0B22">
      <w:pPr>
        <w:pStyle w:val="BodyText"/>
      </w:pPr>
      <w:r w:rsidRPr="00D55D0C">
        <w:t xml:space="preserve">Because of the fast time-varying nature of the phase noise, the ICI components experienced by adjacent OFDM symbols can differ significantly. As a result, PT-RSs need to be present in every non-DMRS OFDM symbol. For Rel-15 NR, PT-RS can be configured to be present in every non-DMRS OFDM symbol and, in frequency domain, there is no more than one PT-RS subcarrier per RB. The specs </w:t>
      </w:r>
      <w:proofErr w:type="gramStart"/>
      <w:r w:rsidRPr="00D55D0C">
        <w:t>is</w:t>
      </w:r>
      <w:proofErr w:type="gramEnd"/>
      <w:r w:rsidRPr="00D55D0C">
        <w:t xml:space="preserve"> defined such that, with proper configuration, PT-RS does not collide with other RS.</w:t>
      </w:r>
    </w:p>
    <w:p w14:paraId="6E045742" w14:textId="2C623BD1" w:rsidR="002B0B22" w:rsidRPr="00D55D0C" w:rsidRDefault="002B0B22" w:rsidP="002B0B22">
      <w:pPr>
        <w:pStyle w:val="BodyText"/>
      </w:pPr>
      <w:r>
        <w:t>In contrast</w:t>
      </w:r>
      <w:r w:rsidRPr="00D55D0C">
        <w:t xml:space="preserve">, the same cannot be easily achieved with the alternative </w:t>
      </w:r>
      <w:r w:rsidRPr="00D55D0C">
        <w:rPr>
          <w:lang w:val="en-GB"/>
        </w:rPr>
        <w:t>clustered PT-RS structure</w:t>
      </w:r>
      <w:r w:rsidR="007255F2">
        <w:rPr>
          <w:lang w:val="en-GB"/>
        </w:rPr>
        <w:t xml:space="preserve"> shown above</w:t>
      </w:r>
      <w:r w:rsidRPr="00D55D0C">
        <w:rPr>
          <w:lang w:val="en-GB"/>
        </w:rPr>
        <w:t xml:space="preserve">. As discussed </w:t>
      </w:r>
      <w:r w:rsidR="007255F2">
        <w:rPr>
          <w:lang w:val="en-GB"/>
        </w:rPr>
        <w:t>above</w:t>
      </w:r>
      <w:r w:rsidRPr="00D55D0C">
        <w:rPr>
          <w:lang w:val="en-GB"/>
        </w:rPr>
        <w:t xml:space="preserve">, </w:t>
      </w:r>
      <w:r w:rsidRPr="00D55D0C">
        <w:t xml:space="preserve">the size of each cluster of contiguous PT-RS should satisfy </w:t>
      </w:r>
      <m:oMath>
        <m:r>
          <w:rPr>
            <w:rFonts w:ascii="Cambria Math" w:hAnsi="Cambria Math"/>
          </w:rPr>
          <m:t>M</m:t>
        </m:r>
        <m:r>
          <m:rPr>
            <m:sty m:val="p"/>
          </m:rPr>
          <w:rPr>
            <w:rFonts w:ascii="Cambria Math" w:hAnsi="Cambria Math"/>
          </w:rPr>
          <m:t>≥4</m:t>
        </m:r>
        <m:r>
          <w:rPr>
            <w:rFonts w:ascii="Cambria Math" w:hAnsi="Cambria Math"/>
          </w:rPr>
          <m:t>u</m:t>
        </m:r>
        <m:r>
          <m:rPr>
            <m:sty m:val="p"/>
          </m:rPr>
          <w:rPr>
            <w:rFonts w:ascii="Cambria Math" w:hAnsi="Cambria Math"/>
          </w:rPr>
          <m:t>+1</m:t>
        </m:r>
      </m:oMath>
      <w:r w:rsidRPr="00D55D0C">
        <w:t xml:space="preserve"> in order to estimate a </w:t>
      </w:r>
      <m:oMath>
        <m:d>
          <m:dPr>
            <m:ctrlPr>
              <w:rPr>
                <w:rFonts w:ascii="Cambria Math" w:hAnsi="Cambria Math"/>
              </w:rPr>
            </m:ctrlPr>
          </m:dPr>
          <m:e>
            <m:r>
              <m:rPr>
                <m:sty m:val="p"/>
              </m:rPr>
              <w:rPr>
                <w:rFonts w:ascii="Cambria Math" w:hAnsi="Cambria Math"/>
              </w:rPr>
              <m:t>2</m:t>
            </m:r>
            <m:r>
              <w:rPr>
                <w:rFonts w:ascii="Cambria Math" w:hAnsi="Cambria Math"/>
              </w:rPr>
              <m:t>u</m:t>
            </m:r>
            <m:r>
              <m:rPr>
                <m:sty m:val="p"/>
              </m:rPr>
              <w:rPr>
                <w:rFonts w:ascii="Cambria Math" w:hAnsi="Cambria Math"/>
              </w:rPr>
              <m:t>+1</m:t>
            </m:r>
          </m:e>
        </m:d>
      </m:oMath>
      <w:r w:rsidRPr="00D55D0C">
        <w:t>-tap approximation of the ICI filter. That is, to estimate a 3-tap approximation of the ICI filter, each cluster should have at least 5 PT-RS subcarriers. This type of clusters can frequently collide with other existing NR RS</w:t>
      </w:r>
      <w:r>
        <w:t xml:space="preserve">, and there is </w:t>
      </w:r>
      <w:r w:rsidRPr="00D55D0C">
        <w:t>no simple solution</w:t>
      </w:r>
      <w:r>
        <w:t xml:space="preserve"> to avoid collisions</w:t>
      </w:r>
      <w:r w:rsidRPr="00D55D0C">
        <w:t xml:space="preserve">. One example </w:t>
      </w:r>
      <w:r>
        <w:t xml:space="preserve">collision </w:t>
      </w:r>
      <w:r w:rsidRPr="00D55D0C">
        <w:t xml:space="preserve">is </w:t>
      </w:r>
      <w:r>
        <w:t xml:space="preserve">with </w:t>
      </w:r>
      <w:r w:rsidRPr="00D55D0C">
        <w:t xml:space="preserve">the tracking RS illustrated in </w:t>
      </w:r>
      <w:r w:rsidRPr="00D55D0C">
        <w:fldChar w:fldCharType="begin"/>
      </w:r>
      <w:r w:rsidRPr="00D55D0C">
        <w:instrText xml:space="preserve"> REF _Ref47542063 \h  \* MERGEFORMAT </w:instrText>
      </w:r>
      <w:r w:rsidRPr="00D55D0C">
        <w:fldChar w:fldCharType="separate"/>
      </w:r>
      <w:r w:rsidR="00BE31F7" w:rsidRPr="00D55D0C">
        <w:rPr>
          <w:rFonts w:cs="Arial"/>
        </w:rPr>
        <w:t xml:space="preserve">Figure </w:t>
      </w:r>
      <w:r w:rsidR="00BE31F7" w:rsidRPr="00BE31F7">
        <w:rPr>
          <w:noProof/>
        </w:rPr>
        <w:t>42</w:t>
      </w:r>
      <w:r w:rsidRPr="00D55D0C">
        <w:fldChar w:fldCharType="end"/>
      </w:r>
      <w:r w:rsidRPr="00D55D0C">
        <w:t xml:space="preserve">. Since there are only three subcarriers between two TRSs, there is not enough room to insert the needed minimum of five clustered subcarriers. </w:t>
      </w:r>
    </w:p>
    <w:p w14:paraId="3794621C" w14:textId="77777777" w:rsidR="002B0B22" w:rsidRPr="00D55D0C" w:rsidRDefault="002B0B22" w:rsidP="002B0B22">
      <w:pPr>
        <w:pStyle w:val="BodyText"/>
      </w:pPr>
    </w:p>
    <w:p w14:paraId="6CA1EBA3" w14:textId="59B077CA" w:rsidR="007803FD" w:rsidRDefault="007803FD" w:rsidP="007803FD">
      <w:pPr>
        <w:pStyle w:val="Proposal"/>
      </w:pPr>
      <w:bookmarkStart w:id="651" w:name="_Toc53776227"/>
      <w:r>
        <w:t xml:space="preserve">Capture the following observation in TR 38.808: </w:t>
      </w:r>
      <w:r w:rsidRPr="00D55D0C">
        <w:t>Clustered PT-RS structure can frequently collide with existing NR reference symbols (such as CSI-RS and TRS) with no simple avoidance solution</w:t>
      </w:r>
      <w:r w:rsidRPr="00D55D0C">
        <w:rPr>
          <w:lang w:val="en-GB"/>
        </w:rPr>
        <w:t>.</w:t>
      </w:r>
      <w:bookmarkEnd w:id="651"/>
    </w:p>
    <w:p w14:paraId="41EDC049" w14:textId="77777777" w:rsidR="002B0B22" w:rsidRPr="00D55D0C" w:rsidRDefault="002B0B22" w:rsidP="002B0B22">
      <w:pPr>
        <w:pStyle w:val="BodyText"/>
      </w:pPr>
    </w:p>
    <w:p w14:paraId="58F682B7" w14:textId="59551898" w:rsidR="002B0B22" w:rsidRPr="00D55D0C" w:rsidRDefault="5B0DE8DF" w:rsidP="002B0B22">
      <w:pPr>
        <w:pStyle w:val="BodyText"/>
      </w:pPr>
      <w:r>
        <w:rPr>
          <w:noProof/>
        </w:rPr>
        <w:lastRenderedPageBreak/>
        <w:drawing>
          <wp:inline distT="0" distB="0" distL="0" distR="0" wp14:anchorId="240CEBBA" wp14:editId="03896C62">
            <wp:extent cx="6120765" cy="3378835"/>
            <wp:effectExtent l="0" t="0" r="0" b="0"/>
            <wp:docPr id="16469876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70">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06381A5A-0D08-4FB6-A788-0C1CC85C9DF9}"/>
                        </a:ext>
                      </a:extLst>
                    </a:blip>
                    <a:stretch>
                      <a:fillRect/>
                    </a:stretch>
                  </pic:blipFill>
                  <pic:spPr>
                    <a:xfrm>
                      <a:off x="0" y="0"/>
                      <a:ext cx="6120765" cy="3378835"/>
                    </a:xfrm>
                    <a:prstGeom prst="rect">
                      <a:avLst/>
                    </a:prstGeom>
                  </pic:spPr>
                </pic:pic>
              </a:graphicData>
            </a:graphic>
          </wp:inline>
        </w:drawing>
      </w:r>
    </w:p>
    <w:p w14:paraId="04018A4A" w14:textId="35463042" w:rsidR="002B0B22" w:rsidRPr="003C2819" w:rsidRDefault="002B0B22" w:rsidP="002B0B22">
      <w:pPr>
        <w:pStyle w:val="Caption"/>
        <w:jc w:val="center"/>
        <w:rPr>
          <w:rFonts w:ascii="Arial" w:hAnsi="Arial" w:cs="Arial"/>
        </w:rPr>
      </w:pPr>
      <w:bookmarkStart w:id="652" w:name="_Ref47542063"/>
      <w:r w:rsidRPr="00D55D0C">
        <w:rPr>
          <w:rFonts w:ascii="Arial" w:hAnsi="Arial" w:cs="Arial"/>
        </w:rPr>
        <w:t xml:space="preserve">Figure </w:t>
      </w:r>
      <w:r>
        <w:rPr>
          <w:rFonts w:ascii="Arial" w:hAnsi="Arial" w:cs="Arial"/>
        </w:rPr>
        <w:fldChar w:fldCharType="begin"/>
      </w:r>
      <w:r w:rsidRPr="00D93EC2">
        <w:rPr>
          <w:rFonts w:ascii="Arial" w:hAnsi="Arial" w:cs="Arial"/>
        </w:rPr>
        <w:instrText>SEQ Figure \* ARABIC</w:instrText>
      </w:r>
      <w:r>
        <w:rPr>
          <w:rFonts w:ascii="Arial" w:hAnsi="Arial" w:cs="Arial"/>
        </w:rPr>
        <w:fldChar w:fldCharType="separate"/>
      </w:r>
      <w:r w:rsidR="00BE31F7">
        <w:rPr>
          <w:rFonts w:ascii="Arial" w:hAnsi="Arial" w:cs="Arial"/>
          <w:noProof/>
        </w:rPr>
        <w:t>42</w:t>
      </w:r>
      <w:r>
        <w:rPr>
          <w:rFonts w:ascii="Arial" w:hAnsi="Arial" w:cs="Arial"/>
        </w:rPr>
        <w:fldChar w:fldCharType="end"/>
      </w:r>
      <w:bookmarkEnd w:id="652"/>
      <w:r w:rsidRPr="003C2819">
        <w:rPr>
          <w:rFonts w:ascii="Arial" w:hAnsi="Arial" w:cs="Arial"/>
        </w:rPr>
        <w:t>: Tracking reference symbol (TRS) mapping in NR</w:t>
      </w:r>
    </w:p>
    <w:p w14:paraId="3D5996E3" w14:textId="77777777" w:rsidR="002B0B22" w:rsidRDefault="002B0B22" w:rsidP="00EB580B">
      <w:pPr>
        <w:pStyle w:val="BodyText"/>
      </w:pPr>
    </w:p>
    <w:p w14:paraId="2EC299F7" w14:textId="0588EB6D" w:rsidR="00D76895" w:rsidRDefault="001F538F" w:rsidP="001B4421">
      <w:pPr>
        <w:pStyle w:val="BodyText"/>
      </w:pPr>
      <w:r w:rsidRPr="00D55D0C">
        <w:t xml:space="preserve">The clustered PT-RS structure is motivated by the ICI filter estimation approach as discussed in </w:t>
      </w:r>
      <w:r>
        <w:t>the above</w:t>
      </w:r>
      <w:r w:rsidRPr="00D55D0C">
        <w:t xml:space="preserve">. However, it should be noted that the direct de-ICI filtering approach described Section </w:t>
      </w:r>
      <w:r>
        <w:t>3.</w:t>
      </w:r>
      <w:r w:rsidRPr="00D55D0C">
        <w:t>2.</w:t>
      </w:r>
      <w:r>
        <w:t>2</w:t>
      </w:r>
      <w:r w:rsidRPr="00D55D0C">
        <w:t xml:space="preserve"> is agnostic to the exact locations of the PT-RS. Therefore, the direct de-ICI filtering approach can be used in conjunction with the distributed Rel-15 PT-RS as well as the alternative clustered PT-RS.</w:t>
      </w:r>
      <w:r w:rsidR="00E84B4F">
        <w:t xml:space="preserve"> </w:t>
      </w:r>
    </w:p>
    <w:p w14:paraId="4F34900A" w14:textId="7C68784E" w:rsidR="002246BC" w:rsidRDefault="001B4421" w:rsidP="001B4421">
      <w:pPr>
        <w:pStyle w:val="BodyText"/>
      </w:pPr>
      <w:r>
        <w:t xml:space="preserve">In </w:t>
      </w:r>
      <w:r w:rsidR="0007251C">
        <w:t>the following</w:t>
      </w:r>
      <w:r>
        <w:t>, w</w:t>
      </w:r>
      <w:r w:rsidRPr="00D55D0C">
        <w:t xml:space="preserve">e evaluate </w:t>
      </w:r>
      <w:r w:rsidR="00211CC3">
        <w:t xml:space="preserve">the </w:t>
      </w:r>
      <w:r w:rsidR="005C38A5">
        <w:t>two different</w:t>
      </w:r>
      <w:r w:rsidR="00211CC3">
        <w:t xml:space="preserve"> </w:t>
      </w:r>
      <w:r w:rsidR="002246BC">
        <w:t>ICI compensation</w:t>
      </w:r>
      <w:r w:rsidR="005C38A5">
        <w:t xml:space="preserve"> approaches with different options on the PTRS structures (Option 0/1/2):</w:t>
      </w:r>
    </w:p>
    <w:p w14:paraId="43FE84DF" w14:textId="77777777" w:rsidR="00C723C5" w:rsidRDefault="00393F1A" w:rsidP="00393F1A">
      <w:pPr>
        <w:pStyle w:val="BodyText"/>
        <w:numPr>
          <w:ilvl w:val="0"/>
          <w:numId w:val="70"/>
        </w:numPr>
      </w:pPr>
      <w:r>
        <w:t>Approach 1</w:t>
      </w:r>
      <w:r w:rsidR="00F50D4F">
        <w:t>: D</w:t>
      </w:r>
      <w:r w:rsidR="004126D2">
        <w:t xml:space="preserve">irect de-ICI </w:t>
      </w:r>
      <w:r w:rsidR="00F50D4F">
        <w:t xml:space="preserve">compensation </w:t>
      </w:r>
      <w:r w:rsidR="004126D2">
        <w:t xml:space="preserve">approach </w:t>
      </w:r>
      <w:r w:rsidR="00C723C5">
        <w:t xml:space="preserve">presented </w:t>
      </w:r>
      <w:r w:rsidR="004126D2">
        <w:t xml:space="preserve">in Section 3.3.2 </w:t>
      </w:r>
    </w:p>
    <w:p w14:paraId="21381F88" w14:textId="3A63D732" w:rsidR="00C723C5" w:rsidRDefault="009B672F" w:rsidP="009B672F">
      <w:pPr>
        <w:pStyle w:val="BodyText"/>
        <w:numPr>
          <w:ilvl w:val="1"/>
          <w:numId w:val="70"/>
        </w:numPr>
      </w:pPr>
      <w:r>
        <w:t>Option 0</w:t>
      </w:r>
      <w:r w:rsidR="005C38A5">
        <w:t xml:space="preserve"> (baseline)</w:t>
      </w:r>
      <w:r>
        <w:t>: Rel-15 PT-RS</w:t>
      </w:r>
      <w:r w:rsidR="001255C8">
        <w:t xml:space="preserve"> </w:t>
      </w:r>
      <w:r w:rsidR="005C38A5">
        <w:t xml:space="preserve">structure </w:t>
      </w:r>
      <w:r w:rsidR="001255C8">
        <w:t xml:space="preserve">with </w:t>
      </w:r>
      <w:r w:rsidR="00BA0EA1" w:rsidRPr="000E45C1">
        <w:t>K=2 and L=1</w:t>
      </w:r>
    </w:p>
    <w:p w14:paraId="6692BEE0" w14:textId="019B88A1" w:rsidR="00122105" w:rsidRPr="00D55D0C" w:rsidRDefault="00122105" w:rsidP="003C2819">
      <w:pPr>
        <w:pStyle w:val="BodyText"/>
        <w:numPr>
          <w:ilvl w:val="1"/>
          <w:numId w:val="70"/>
        </w:numPr>
      </w:pPr>
      <w:r w:rsidRPr="00D55D0C">
        <w:t>Option 1</w:t>
      </w:r>
      <w:r w:rsidR="005C38A5">
        <w:t xml:space="preserve"> as described below</w:t>
      </w:r>
      <w:r w:rsidRPr="00D55D0C">
        <w:t xml:space="preserve"> </w:t>
      </w:r>
    </w:p>
    <w:p w14:paraId="26B1957B" w14:textId="75E404C7" w:rsidR="00122105" w:rsidRPr="00D55D0C" w:rsidRDefault="00122105" w:rsidP="003C2819">
      <w:pPr>
        <w:pStyle w:val="BodyText"/>
        <w:numPr>
          <w:ilvl w:val="1"/>
          <w:numId w:val="70"/>
        </w:numPr>
      </w:pPr>
      <w:r w:rsidRPr="00D55D0C">
        <w:t>Option 2</w:t>
      </w:r>
      <w:r w:rsidR="005C38A5">
        <w:t xml:space="preserve"> as described below</w:t>
      </w:r>
    </w:p>
    <w:p w14:paraId="526AF530" w14:textId="0A28AC9E" w:rsidR="00AD61AE" w:rsidRDefault="00122105" w:rsidP="003C2819">
      <w:pPr>
        <w:pStyle w:val="BodyText"/>
        <w:numPr>
          <w:ilvl w:val="0"/>
          <w:numId w:val="70"/>
        </w:numPr>
      </w:pPr>
      <w:r>
        <w:t>Approach 2: ICI filter approximation approach</w:t>
      </w:r>
      <w:r w:rsidR="001B3FE0">
        <w:t xml:space="preserve"> </w:t>
      </w:r>
      <w:r w:rsidR="007A18FE">
        <w:t>presented in the above</w:t>
      </w:r>
    </w:p>
    <w:p w14:paraId="266D8F00" w14:textId="77777777" w:rsidR="001B4421" w:rsidRPr="00D55D0C" w:rsidRDefault="001B4421" w:rsidP="00F53EE0">
      <w:pPr>
        <w:pStyle w:val="BodyText"/>
        <w:numPr>
          <w:ilvl w:val="1"/>
          <w:numId w:val="70"/>
        </w:numPr>
      </w:pPr>
      <w:r w:rsidRPr="00D55D0C">
        <w:t xml:space="preserve">Option 1: </w:t>
      </w:r>
      <w:r w:rsidR="00F53EE0" w:rsidRPr="00D55D0C">
        <w:t>1</w:t>
      </w:r>
      <w:r w:rsidRPr="00D55D0C">
        <w:t xml:space="preserve"> cluster with same number of PT-RS subcarriers as Rel-15 setup (K=2).</w:t>
      </w:r>
    </w:p>
    <w:p w14:paraId="5413A8DF" w14:textId="2CFFB75C" w:rsidR="001B4421" w:rsidRDefault="001B4421" w:rsidP="00F53EE0">
      <w:pPr>
        <w:pStyle w:val="BodyText"/>
        <w:numPr>
          <w:ilvl w:val="1"/>
          <w:numId w:val="70"/>
        </w:numPr>
      </w:pPr>
      <w:r w:rsidRPr="00D55D0C">
        <w:t xml:space="preserve">Option 2: Multiple clusters of 5 PT-RS subcarriers with approximately the same total number of PT-RS subcarriers as Rel-15 setup (K=2). That is, the number of clusters is </w:t>
      </w:r>
      <m:oMath>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N</m:t>
                </m:r>
              </m:e>
              <m:sub>
                <m:r>
                  <m:rPr>
                    <m:sty m:val="p"/>
                  </m:rPr>
                  <w:rPr>
                    <w:rFonts w:ascii="Cambria Math" w:hAnsi="Cambria Math"/>
                  </w:rPr>
                  <m:t>RB</m:t>
                </m:r>
              </m:sub>
            </m:sSub>
            <m:r>
              <m:rPr>
                <m:sty m:val="p"/>
              </m:rPr>
              <w:rPr>
                <w:rFonts w:ascii="Cambria Math" w:hAnsi="Cambria Math"/>
              </w:rPr>
              <m:t>/5K</m:t>
            </m:r>
          </m:e>
        </m:d>
      </m:oMath>
      <w:r w:rsidRPr="00D55D0C">
        <w:t xml:space="preserve">,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RB</m:t>
            </m:r>
          </m:sub>
        </m:sSub>
      </m:oMath>
      <w:r w:rsidRPr="00D55D0C">
        <w:t xml:space="preserve"> is the number of allocated RBs.</w:t>
      </w:r>
    </w:p>
    <w:p w14:paraId="692A19D7" w14:textId="5A2A4039" w:rsidR="005C38A5" w:rsidRPr="00D55D0C" w:rsidRDefault="005C38A5" w:rsidP="00F53EE0">
      <w:pPr>
        <w:pStyle w:val="BodyText"/>
        <w:numPr>
          <w:ilvl w:val="1"/>
          <w:numId w:val="70"/>
        </w:numPr>
      </w:pPr>
      <w:r>
        <w:t>Note: Approach 2 is not compatible with Option 0 (baseline) PTRS structure</w:t>
      </w:r>
    </w:p>
    <w:p w14:paraId="0812836E" w14:textId="709A27B5" w:rsidR="001B4421" w:rsidRDefault="001B4421" w:rsidP="001B4421">
      <w:pPr>
        <w:pStyle w:val="BodyText"/>
      </w:pPr>
      <w:r>
        <w:t xml:space="preserve">We emphasize that the PT-RS overhead is the same for both Options 1 and 2, which in turn is the same as the </w:t>
      </w:r>
      <w:r w:rsidR="005C38A5">
        <w:t xml:space="preserve">baseline (Option 0) </w:t>
      </w:r>
      <w:r>
        <w:t>Rel-15 PTRS overhead.</w:t>
      </w:r>
      <w:r w:rsidR="000E1C27">
        <w:t xml:space="preserve"> For both ICI compensation approaches, </w:t>
      </w:r>
      <w:r w:rsidR="00716E80">
        <w:t>3-tap filters (</w:t>
      </w:r>
      <m:oMath>
        <m:r>
          <w:rPr>
            <w:rFonts w:ascii="Cambria Math" w:hAnsi="Cambria Math"/>
          </w:rPr>
          <m:t>u=1</m:t>
        </m:r>
      </m:oMath>
      <w:r w:rsidR="00716E80">
        <w:t>) are e</w:t>
      </w:r>
      <w:proofErr w:type="spellStart"/>
      <w:r w:rsidR="00716E80">
        <w:t>stimated</w:t>
      </w:r>
      <w:proofErr w:type="spellEnd"/>
      <w:r w:rsidR="00716E80">
        <w:t xml:space="preserve"> and used for compensation.</w:t>
      </w:r>
    </w:p>
    <w:p w14:paraId="065C3A99" w14:textId="446C7FEC" w:rsidR="001B4421" w:rsidRDefault="001B4421" w:rsidP="001B4421">
      <w:pPr>
        <w:pStyle w:val="BodyText"/>
      </w:pPr>
      <w:r w:rsidRPr="00D55D0C">
        <w:t xml:space="preserve">The BLER performance </w:t>
      </w:r>
      <w:r w:rsidR="006F00B5">
        <w:t>comparison between</w:t>
      </w:r>
      <w:r w:rsidRPr="00D55D0C">
        <w:t xml:space="preserve"> Option </w:t>
      </w:r>
      <w:r w:rsidR="006F00B5">
        <w:t>0 and</w:t>
      </w:r>
      <w:r w:rsidRPr="00D55D0C">
        <w:t xml:space="preserve"> Option 1 is provided in </w:t>
      </w:r>
      <w:r w:rsidRPr="00D55D0C">
        <w:fldChar w:fldCharType="begin"/>
      </w:r>
      <w:r w:rsidRPr="00D55D0C">
        <w:instrText xml:space="preserve"> REF _Ref47559341 \h  \* MERGEFORMAT </w:instrText>
      </w:r>
      <w:r w:rsidRPr="00D55D0C">
        <w:fldChar w:fldCharType="separate"/>
      </w:r>
      <w:r w:rsidR="00BE31F7" w:rsidRPr="00BE31F7">
        <w:t>Figure 43</w:t>
      </w:r>
      <w:r w:rsidRPr="00D55D0C">
        <w:fldChar w:fldCharType="end"/>
      </w:r>
      <w:r w:rsidRPr="00D55D0C">
        <w:t xml:space="preserve">. We can observe that the existing Rel-15 NR distributed PT-RS structure outperforms the single clustered PT-RS structure. This is mainly because the Rel-15 PT-RS structure is robust against frequency selective channels, as the reference signal is distributed over the entire scheduled BW. With the introduction of multiple clusters in Option 2, the link performance improves as shown in </w:t>
      </w:r>
      <w:r w:rsidRPr="00D55D0C">
        <w:fldChar w:fldCharType="begin"/>
      </w:r>
      <w:r w:rsidRPr="00D55D0C">
        <w:instrText xml:space="preserve"> REF _Ref47559346 \h  \* MERGEFORMAT </w:instrText>
      </w:r>
      <w:r w:rsidRPr="00D55D0C">
        <w:fldChar w:fldCharType="separate"/>
      </w:r>
      <w:r w:rsidR="00BE31F7" w:rsidRPr="00BE31F7">
        <w:t>Figure 44</w:t>
      </w:r>
      <w:r w:rsidRPr="00D55D0C">
        <w:fldChar w:fldCharType="end"/>
      </w:r>
      <w:r w:rsidRPr="00D55D0C">
        <w:t xml:space="preserve"> and </w:t>
      </w:r>
      <w:r w:rsidR="005C38A5">
        <w:t xml:space="preserve">almost </w:t>
      </w:r>
      <w:r w:rsidRPr="00D55D0C">
        <w:t>matches that of the Rel-15 PT-RS structure when the direct de-ICI filtering received is applied.</w:t>
      </w:r>
      <w:r>
        <w:t xml:space="preserve"> </w:t>
      </w:r>
      <w:r w:rsidRPr="00690CDE">
        <w:t xml:space="preserve">We can also see that ICI compensation performance for </w:t>
      </w:r>
      <w:r w:rsidR="005C38A5">
        <w:t>1600</w:t>
      </w:r>
      <w:r w:rsidR="005C38A5" w:rsidRPr="00690CDE">
        <w:t xml:space="preserve"> </w:t>
      </w:r>
      <w:r w:rsidRPr="00690CDE">
        <w:t xml:space="preserve">MHz is </w:t>
      </w:r>
      <w:r w:rsidR="005C38A5">
        <w:t>better</w:t>
      </w:r>
      <w:r w:rsidR="005C38A5" w:rsidRPr="00690CDE">
        <w:t xml:space="preserve"> </w:t>
      </w:r>
      <w:r w:rsidRPr="00690CDE">
        <w:t xml:space="preserve">than </w:t>
      </w:r>
      <w:r w:rsidR="005C38A5">
        <w:t>for 400 MHz</w:t>
      </w:r>
      <w:r w:rsidRPr="00690CDE">
        <w:t xml:space="preserve"> bandwidth since, for a given K (here K=2), the number of PT</w:t>
      </w:r>
      <w:r>
        <w:t>-</w:t>
      </w:r>
      <w:r w:rsidRPr="00690CDE">
        <w:t xml:space="preserve">RS </w:t>
      </w:r>
      <w:r w:rsidR="005C38A5">
        <w:t xml:space="preserve">samples </w:t>
      </w:r>
      <w:r w:rsidRPr="00690CDE">
        <w:t xml:space="preserve">for </w:t>
      </w:r>
      <w:r w:rsidR="005C38A5">
        <w:t>1600</w:t>
      </w:r>
      <w:r w:rsidR="005C38A5" w:rsidRPr="00690CDE">
        <w:t xml:space="preserve"> </w:t>
      </w:r>
      <w:r w:rsidRPr="00690CDE">
        <w:t xml:space="preserve">MHz is </w:t>
      </w:r>
      <w:r w:rsidR="005C38A5">
        <w:t>greater</w:t>
      </w:r>
      <w:r w:rsidR="005C38A5" w:rsidRPr="00690CDE">
        <w:t xml:space="preserve"> </w:t>
      </w:r>
      <w:r w:rsidRPr="00690CDE">
        <w:t xml:space="preserve">than that </w:t>
      </w:r>
      <w:r w:rsidR="005C38A5">
        <w:t>for 400 MHz</w:t>
      </w:r>
      <w:r w:rsidRPr="00690CDE">
        <w:t xml:space="preserve"> BW, </w:t>
      </w:r>
      <w:r w:rsidR="005C38A5">
        <w:t>resulting in improved averaging and thus reduced</w:t>
      </w:r>
      <w:r w:rsidRPr="00690CDE">
        <w:t xml:space="preserve"> estimation error.</w:t>
      </w:r>
    </w:p>
    <w:p w14:paraId="1B40B83B" w14:textId="3E83E3D1" w:rsidR="001B4421" w:rsidRPr="00D55D0C" w:rsidRDefault="001B4421" w:rsidP="001B4421">
      <w:pPr>
        <w:pStyle w:val="BodyText"/>
      </w:pPr>
      <w:r w:rsidRPr="00D55D0C">
        <w:lastRenderedPageBreak/>
        <w:t xml:space="preserve">It can be further observed in </w:t>
      </w:r>
      <w:r w:rsidRPr="00D55D0C">
        <w:fldChar w:fldCharType="begin"/>
      </w:r>
      <w:r w:rsidRPr="00D55D0C">
        <w:instrText xml:space="preserve"> REF _Ref47559341 \h  \* MERGEFORMAT </w:instrText>
      </w:r>
      <w:r w:rsidRPr="00D55D0C">
        <w:fldChar w:fldCharType="separate"/>
      </w:r>
      <w:r w:rsidR="00BE31F7" w:rsidRPr="00BE31F7">
        <w:t>Figure 43</w:t>
      </w:r>
      <w:r w:rsidRPr="00D55D0C">
        <w:fldChar w:fldCharType="end"/>
      </w:r>
      <w:r w:rsidRPr="00D55D0C">
        <w:t xml:space="preserve"> and </w:t>
      </w:r>
      <w:r w:rsidRPr="00D55D0C">
        <w:fldChar w:fldCharType="begin"/>
      </w:r>
      <w:r w:rsidRPr="00D55D0C">
        <w:instrText xml:space="preserve"> REF _Ref47559346 \h  \* MERGEFORMAT </w:instrText>
      </w:r>
      <w:r w:rsidRPr="00D55D0C">
        <w:fldChar w:fldCharType="separate"/>
      </w:r>
      <w:r w:rsidR="00BE31F7" w:rsidRPr="00BE31F7">
        <w:t>Figure 44</w:t>
      </w:r>
      <w:r w:rsidRPr="00D55D0C">
        <w:fldChar w:fldCharType="end"/>
      </w:r>
      <w:r w:rsidRPr="00D55D0C">
        <w:t xml:space="preserve"> that the direct de-ICI filtering approach on the clustered PT-RS actually outperform the ICI filter estimation approach. As discussed in </w:t>
      </w:r>
      <w:r w:rsidR="000A7AA5">
        <w:t>the above</w:t>
      </w:r>
      <w:r w:rsidRPr="00D55D0C">
        <w:t xml:space="preserve">, the </w:t>
      </w:r>
      <w:r>
        <w:t>two</w:t>
      </w:r>
      <w:r w:rsidRPr="00D55D0C">
        <w:t xml:space="preserve"> main reasons are (1) the ICI filter estimation approach has lower PT-RS efficiency: each cluster of 5 PT-RS is used to construct only 3 least square equations instead of 5; and (</w:t>
      </w:r>
      <w:r>
        <w:t>2</w:t>
      </w:r>
      <w:r w:rsidRPr="00D55D0C">
        <w:t>) the ICI mitigation in the ICI filter estimation approach relies on the assumption that the convolution of the true ICI filter and the conjugate reverse of the estimated ICI filter is approximately a unit impulse signal, which cannot generally be guaranteed in practice.</w:t>
      </w:r>
    </w:p>
    <w:p w14:paraId="0D2861FB" w14:textId="77777777" w:rsidR="0056778E" w:rsidRDefault="0056778E" w:rsidP="001B4421">
      <w:pPr>
        <w:pStyle w:val="BodyText"/>
      </w:pPr>
    </w:p>
    <w:p w14:paraId="492D5E8D" w14:textId="4B218CD9" w:rsidR="00890E7A" w:rsidRDefault="00890E7A" w:rsidP="00890E7A">
      <w:pPr>
        <w:pStyle w:val="Proposal"/>
      </w:pPr>
      <w:bookmarkStart w:id="653" w:name="_Toc53776228"/>
      <w:r>
        <w:t xml:space="preserve">Capture the following observation in TR 38.808: </w:t>
      </w:r>
      <w:r w:rsidR="0056778E" w:rsidRPr="00D55D0C">
        <w:rPr>
          <w:lang w:val="en-GB"/>
        </w:rPr>
        <w:t>A clustered PT-RS structure does not offer any performance advantage over the existing Rel-15 NR distributed PT-RS structure.</w:t>
      </w:r>
      <w:bookmarkEnd w:id="653"/>
    </w:p>
    <w:p w14:paraId="7B0836BF" w14:textId="77777777" w:rsidR="0056778E" w:rsidRPr="00D55D0C" w:rsidRDefault="0056778E" w:rsidP="001B4421">
      <w:pPr>
        <w:pStyle w:val="BodyText"/>
      </w:pPr>
    </w:p>
    <w:p w14:paraId="1CE86F33" w14:textId="2A075272" w:rsidR="001B4421" w:rsidRPr="00D55D0C" w:rsidRDefault="00D75BE3" w:rsidP="001B4421">
      <w:pPr>
        <w:pStyle w:val="BodyText"/>
      </w:pPr>
      <w:r>
        <w:t xml:space="preserve">Based on the above extensive analysis alternative PT-RS structures and </w:t>
      </w:r>
      <w:r w:rsidR="00667283">
        <w:t>ICI compensation algorithms</w:t>
      </w:r>
      <w:r w:rsidR="001B4421" w:rsidRPr="00D55D0C">
        <w:t xml:space="preserve">, we conclude </w:t>
      </w:r>
      <w:r w:rsidR="007F6AC7">
        <w:t xml:space="preserve">with </w:t>
      </w:r>
      <w:r w:rsidR="001B4421" w:rsidRPr="00D55D0C">
        <w:t>the following</w:t>
      </w:r>
      <w:r w:rsidR="007F6AC7">
        <w:t xml:space="preserve"> proposal</w:t>
      </w:r>
      <w:r w:rsidR="001B4421" w:rsidRPr="00D55D0C">
        <w:t>:</w:t>
      </w:r>
    </w:p>
    <w:p w14:paraId="1BFEC11C" w14:textId="77777777" w:rsidR="001B4421" w:rsidRPr="00D55D0C" w:rsidRDefault="001B4421" w:rsidP="001B4421">
      <w:pPr>
        <w:pStyle w:val="BodyText"/>
      </w:pPr>
    </w:p>
    <w:p w14:paraId="02EB9369" w14:textId="77777777" w:rsidR="001B4421" w:rsidRDefault="001B4421" w:rsidP="001B4421">
      <w:pPr>
        <w:pStyle w:val="Proposal"/>
      </w:pPr>
      <w:bookmarkStart w:id="654" w:name="_Toc47624950"/>
      <w:bookmarkStart w:id="655" w:name="_Toc47625720"/>
      <w:bookmarkStart w:id="656" w:name="_Toc47626064"/>
      <w:bookmarkStart w:id="657" w:name="_Toc47630290"/>
      <w:bookmarkStart w:id="658" w:name="_Toc47624951"/>
      <w:bookmarkStart w:id="659" w:name="_Toc47625721"/>
      <w:bookmarkStart w:id="660" w:name="_Toc47626065"/>
      <w:bookmarkStart w:id="661" w:name="_Toc47630291"/>
      <w:bookmarkStart w:id="662" w:name="_Toc47624952"/>
      <w:bookmarkStart w:id="663" w:name="_Toc47625722"/>
      <w:bookmarkStart w:id="664" w:name="_Toc47626066"/>
      <w:bookmarkStart w:id="665" w:name="_Toc47630292"/>
      <w:bookmarkStart w:id="666" w:name="_Toc53086145"/>
      <w:bookmarkStart w:id="667" w:name="_Toc53776229"/>
      <w:bookmarkEnd w:id="654"/>
      <w:bookmarkEnd w:id="655"/>
      <w:bookmarkEnd w:id="656"/>
      <w:bookmarkEnd w:id="657"/>
      <w:bookmarkEnd w:id="658"/>
      <w:bookmarkEnd w:id="659"/>
      <w:bookmarkEnd w:id="660"/>
      <w:bookmarkEnd w:id="661"/>
      <w:bookmarkEnd w:id="662"/>
      <w:bookmarkEnd w:id="663"/>
      <w:bookmarkEnd w:id="664"/>
      <w:bookmarkEnd w:id="665"/>
      <w:r w:rsidRPr="00D55D0C">
        <w:t>Retain the same Rel-15 distributed PT-RS structure for OFDM for NR operation in 52.6 to 71 GHz.</w:t>
      </w:r>
      <w:bookmarkEnd w:id="666"/>
      <w:bookmarkEnd w:id="667"/>
    </w:p>
    <w:p w14:paraId="394AE3FB" w14:textId="77777777" w:rsidR="004F6BC0" w:rsidRDefault="004F6BC0" w:rsidP="003C2819">
      <w:pPr>
        <w:pStyle w:val="BodyText"/>
      </w:pPr>
    </w:p>
    <w:p w14:paraId="2282C670" w14:textId="2209481F" w:rsidR="001B4421" w:rsidRPr="00D55D0C" w:rsidRDefault="7266B26A" w:rsidP="001B4421">
      <w:pPr>
        <w:pStyle w:val="BodyText"/>
      </w:pPr>
      <w:bookmarkStart w:id="668" w:name="_Toc47616544"/>
      <w:bookmarkStart w:id="669" w:name="_Toc47616596"/>
      <w:bookmarkStart w:id="670" w:name="_Toc47616546"/>
      <w:bookmarkStart w:id="671" w:name="_Toc47616598"/>
      <w:bookmarkStart w:id="672" w:name="_Toc47616547"/>
      <w:bookmarkStart w:id="673" w:name="_Toc47616599"/>
      <w:bookmarkStart w:id="674" w:name="_Toc47616548"/>
      <w:bookmarkStart w:id="675" w:name="_Toc47616600"/>
      <w:bookmarkEnd w:id="668"/>
      <w:bookmarkEnd w:id="669"/>
      <w:bookmarkEnd w:id="670"/>
      <w:bookmarkEnd w:id="671"/>
      <w:bookmarkEnd w:id="672"/>
      <w:bookmarkEnd w:id="673"/>
      <w:bookmarkEnd w:id="674"/>
      <w:bookmarkEnd w:id="675"/>
      <w:r>
        <w:rPr>
          <w:noProof/>
        </w:rPr>
        <w:drawing>
          <wp:inline distT="0" distB="0" distL="0" distR="0" wp14:anchorId="020A4A1E" wp14:editId="5948F4E7">
            <wp:extent cx="3017520" cy="2263140"/>
            <wp:effectExtent l="0" t="0" r="0" b="3810"/>
            <wp:docPr id="1646987642" name="Picture 1646987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987642"/>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r>
        <w:rPr>
          <w:noProof/>
        </w:rPr>
        <w:drawing>
          <wp:inline distT="0" distB="0" distL="0" distR="0" wp14:anchorId="304EA455" wp14:editId="2976EEA4">
            <wp:extent cx="3017520" cy="2263140"/>
            <wp:effectExtent l="0" t="0" r="0" b="3810"/>
            <wp:docPr id="1646987643" name="Picture 1646987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987643"/>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p w14:paraId="0E037F60" w14:textId="006A7669" w:rsidR="001B4421" w:rsidRPr="00E171B2" w:rsidRDefault="001B4421" w:rsidP="001B4421">
      <w:pPr>
        <w:pStyle w:val="Caption"/>
        <w:jc w:val="both"/>
        <w:rPr>
          <w:rFonts w:asciiTheme="minorBidi" w:hAnsiTheme="minorBidi" w:cstheme="minorBidi"/>
        </w:rPr>
      </w:pPr>
      <w:bookmarkStart w:id="676" w:name="_Ref47559341"/>
      <w:r w:rsidRPr="00E171B2">
        <w:rPr>
          <w:rFonts w:asciiTheme="minorBidi" w:hAnsiTheme="minorBidi" w:cstheme="minorBidi"/>
        </w:rPr>
        <w:t xml:space="preserve">Figure </w:t>
      </w:r>
      <w:r w:rsidRPr="00E171B2">
        <w:rPr>
          <w:rFonts w:asciiTheme="minorBidi" w:hAnsiTheme="minorBidi" w:cstheme="minorBidi"/>
        </w:rPr>
        <w:fldChar w:fldCharType="begin"/>
      </w:r>
      <w:r w:rsidRPr="00E171B2">
        <w:rPr>
          <w:rFonts w:asciiTheme="minorBidi" w:hAnsiTheme="minorBidi" w:cstheme="minorBidi"/>
        </w:rPr>
        <w:instrText xml:space="preserve"> SEQ Figure \* ARABIC </w:instrText>
      </w:r>
      <w:r w:rsidRPr="00E171B2">
        <w:rPr>
          <w:rFonts w:asciiTheme="minorBidi" w:hAnsiTheme="minorBidi" w:cstheme="minorBidi"/>
        </w:rPr>
        <w:fldChar w:fldCharType="separate"/>
      </w:r>
      <w:r w:rsidR="00BE31F7">
        <w:rPr>
          <w:rFonts w:asciiTheme="minorBidi" w:hAnsiTheme="minorBidi" w:cstheme="minorBidi"/>
          <w:noProof/>
        </w:rPr>
        <w:t>43</w:t>
      </w:r>
      <w:r w:rsidRPr="00E171B2">
        <w:rPr>
          <w:rFonts w:asciiTheme="minorBidi" w:hAnsiTheme="minorBidi" w:cstheme="minorBidi"/>
        </w:rPr>
        <w:fldChar w:fldCharType="end"/>
      </w:r>
      <w:bookmarkEnd w:id="676"/>
      <w:r w:rsidRPr="00E171B2">
        <w:rPr>
          <w:rFonts w:asciiTheme="minorBidi" w:hAnsiTheme="minorBidi" w:cstheme="minorBidi"/>
        </w:rPr>
        <w:t>: BLER for 480 kHz SCS in TDL-A 10 ns channel with Rel-15 or single-clustered PT-RS structures for 400 MHz (left) and 1.6 GHz (right) bandwidth</w:t>
      </w:r>
      <w:r>
        <w:rPr>
          <w:rFonts w:asciiTheme="minorBidi" w:hAnsiTheme="minorBidi" w:cstheme="minorBidi"/>
        </w:rPr>
        <w:t xml:space="preserve"> </w:t>
      </w:r>
      <w:r>
        <w:rPr>
          <w:rFonts w:ascii="Arial" w:hAnsi="Arial" w:cs="Arial"/>
        </w:rPr>
        <w:t xml:space="preserve">for </w:t>
      </w:r>
      <w:r w:rsidRPr="00D377AD">
        <w:rPr>
          <w:rFonts w:ascii="Arial" w:hAnsi="Arial" w:cs="Arial"/>
        </w:rPr>
        <w:t>the PN model set 1</w:t>
      </w:r>
      <w:r w:rsidRPr="00E171B2">
        <w:rPr>
          <w:rFonts w:asciiTheme="minorBidi" w:hAnsiTheme="minorBidi" w:cstheme="minorBidi"/>
        </w:rPr>
        <w:t>.</w:t>
      </w:r>
    </w:p>
    <w:p w14:paraId="4E837134" w14:textId="4F595FEF" w:rsidR="001B4421" w:rsidRPr="00E171B2" w:rsidRDefault="7266B26A" w:rsidP="001B4421">
      <w:pPr>
        <w:rPr>
          <w:b/>
          <w:lang w:eastAsia="en-GB"/>
        </w:rPr>
      </w:pPr>
      <w:r>
        <w:rPr>
          <w:noProof/>
        </w:rPr>
        <w:drawing>
          <wp:inline distT="0" distB="0" distL="0" distR="0" wp14:anchorId="52C3AC35" wp14:editId="6757C0C5">
            <wp:extent cx="3017520" cy="2263140"/>
            <wp:effectExtent l="0" t="0" r="0" b="3810"/>
            <wp:docPr id="1646987644" name="Picture 1646987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987644"/>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r>
        <w:rPr>
          <w:noProof/>
        </w:rPr>
        <w:drawing>
          <wp:inline distT="0" distB="0" distL="0" distR="0" wp14:anchorId="11600C04" wp14:editId="03D2AF57">
            <wp:extent cx="3017520" cy="2263140"/>
            <wp:effectExtent l="0" t="0" r="0" b="3810"/>
            <wp:docPr id="1646987645" name="Picture 1646987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987645"/>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017520" cy="2263140"/>
                    </a:xfrm>
                    <a:prstGeom prst="rect">
                      <a:avLst/>
                    </a:prstGeom>
                  </pic:spPr>
                </pic:pic>
              </a:graphicData>
            </a:graphic>
          </wp:inline>
        </w:drawing>
      </w:r>
    </w:p>
    <w:p w14:paraId="239AC43D" w14:textId="6B667493" w:rsidR="001B4421" w:rsidRPr="00D55D0C" w:rsidRDefault="001B4421" w:rsidP="001B4421">
      <w:pPr>
        <w:pStyle w:val="Caption"/>
        <w:jc w:val="both"/>
        <w:rPr>
          <w:rFonts w:asciiTheme="minorBidi" w:hAnsiTheme="minorBidi" w:cstheme="minorBidi"/>
          <w:bCs/>
        </w:rPr>
      </w:pPr>
      <w:bookmarkStart w:id="677" w:name="_Ref47559346"/>
      <w:r w:rsidRPr="00D55D0C">
        <w:rPr>
          <w:rFonts w:asciiTheme="minorBidi" w:hAnsiTheme="minorBidi" w:cstheme="minorBidi"/>
          <w:bCs/>
        </w:rPr>
        <w:t xml:space="preserve">Figure </w:t>
      </w:r>
      <w:r w:rsidRPr="00D55D0C">
        <w:rPr>
          <w:rFonts w:asciiTheme="minorBidi" w:hAnsiTheme="minorBidi" w:cstheme="minorBidi"/>
          <w:bCs/>
        </w:rPr>
        <w:fldChar w:fldCharType="begin"/>
      </w:r>
      <w:r w:rsidRPr="00D55D0C">
        <w:rPr>
          <w:rFonts w:asciiTheme="minorBidi" w:hAnsiTheme="minorBidi" w:cstheme="minorBidi"/>
          <w:bCs/>
        </w:rPr>
        <w:instrText xml:space="preserve"> SEQ Figure \* ARABIC </w:instrText>
      </w:r>
      <w:r w:rsidRPr="00D55D0C">
        <w:rPr>
          <w:rFonts w:asciiTheme="minorBidi" w:hAnsiTheme="minorBidi" w:cstheme="minorBidi"/>
          <w:bCs/>
        </w:rPr>
        <w:fldChar w:fldCharType="separate"/>
      </w:r>
      <w:r w:rsidR="00BE31F7">
        <w:rPr>
          <w:rFonts w:asciiTheme="minorBidi" w:hAnsiTheme="minorBidi" w:cstheme="minorBidi"/>
          <w:bCs/>
          <w:noProof/>
        </w:rPr>
        <w:t>44</w:t>
      </w:r>
      <w:r w:rsidRPr="00D55D0C">
        <w:rPr>
          <w:rFonts w:asciiTheme="minorBidi" w:hAnsiTheme="minorBidi" w:cstheme="minorBidi"/>
          <w:bCs/>
        </w:rPr>
        <w:fldChar w:fldCharType="end"/>
      </w:r>
      <w:bookmarkEnd w:id="677"/>
      <w:r w:rsidRPr="00D55D0C">
        <w:rPr>
          <w:rFonts w:asciiTheme="minorBidi" w:hAnsiTheme="minorBidi" w:cstheme="minorBidi"/>
          <w:bCs/>
        </w:rPr>
        <w:t xml:space="preserve">: </w:t>
      </w:r>
      <w:r w:rsidRPr="00D55D0C">
        <w:rPr>
          <w:rFonts w:asciiTheme="minorBidi" w:hAnsiTheme="minorBidi" w:cstheme="minorBidi"/>
        </w:rPr>
        <w:t xml:space="preserve">BLER for 480 kHz SCS in TDL-A 10 ns channel with Rel-15 or multiple-clustered PT-RS structures </w:t>
      </w:r>
      <w:r w:rsidRPr="00D377AD">
        <w:rPr>
          <w:rFonts w:asciiTheme="minorBidi" w:hAnsiTheme="minorBidi" w:cstheme="minorBidi"/>
        </w:rPr>
        <w:t>for 400 MHz (left) and 1.6 GHz (right) bandwidth</w:t>
      </w:r>
      <w:r>
        <w:rPr>
          <w:rFonts w:asciiTheme="minorBidi" w:hAnsiTheme="minorBidi" w:cstheme="minorBidi"/>
        </w:rPr>
        <w:t xml:space="preserve"> </w:t>
      </w:r>
      <w:r>
        <w:rPr>
          <w:rFonts w:ascii="Arial" w:hAnsi="Arial" w:cs="Arial"/>
        </w:rPr>
        <w:t xml:space="preserve">for </w:t>
      </w:r>
      <w:r w:rsidRPr="00D377AD">
        <w:rPr>
          <w:rFonts w:ascii="Arial" w:hAnsi="Arial" w:cs="Arial"/>
        </w:rPr>
        <w:t>the PN model set 1</w:t>
      </w:r>
      <w:r>
        <w:rPr>
          <w:rFonts w:ascii="Arial" w:hAnsi="Arial" w:cs="Arial"/>
        </w:rPr>
        <w:t>.</w:t>
      </w:r>
      <w:r w:rsidRPr="004272B9" w:rsidDel="005955AB">
        <w:rPr>
          <w:rFonts w:ascii="Arial" w:hAnsi="Arial" w:cs="Arial"/>
        </w:rPr>
        <w:t xml:space="preserve"> </w:t>
      </w:r>
    </w:p>
    <w:p w14:paraId="515FD32B" w14:textId="77777777" w:rsidR="00EB580B" w:rsidRPr="003C2819" w:rsidRDefault="00EB580B" w:rsidP="003C2819">
      <w:pPr>
        <w:pStyle w:val="BodyText"/>
      </w:pPr>
    </w:p>
    <w:p w14:paraId="6A061002" w14:textId="31DE51DE" w:rsidR="00D64B2E" w:rsidRDefault="00D64B2E" w:rsidP="00D64B2E">
      <w:pPr>
        <w:pStyle w:val="Heading3"/>
      </w:pPr>
      <w:bookmarkStart w:id="678" w:name="_Toc53775907"/>
      <w:r>
        <w:lastRenderedPageBreak/>
        <w:t>4.</w:t>
      </w:r>
      <w:r w:rsidR="00A7546B">
        <w:t>2</w:t>
      </w:r>
      <w:r>
        <w:t>.2</w:t>
      </w:r>
      <w:r>
        <w:tab/>
        <w:t>DMRS Design</w:t>
      </w:r>
      <w:bookmarkEnd w:id="678"/>
    </w:p>
    <w:p w14:paraId="6673770B" w14:textId="28DD34FA" w:rsidR="00365CE7" w:rsidRDefault="00365CE7" w:rsidP="00D64B2E">
      <w:pPr>
        <w:rPr>
          <w:rFonts w:ascii="Arial" w:hAnsi="Arial" w:cs="Arial"/>
          <w:highlight w:val="yellow"/>
          <w:lang w:val="en-GB"/>
        </w:rPr>
      </w:pPr>
      <w:r w:rsidRPr="00D64B2E">
        <w:rPr>
          <w:noProof/>
        </w:rPr>
        <mc:AlternateContent>
          <mc:Choice Requires="wps">
            <w:drawing>
              <wp:inline distT="0" distB="0" distL="0" distR="0" wp14:anchorId="494628AC" wp14:editId="23931DC3">
                <wp:extent cx="6096000" cy="798830"/>
                <wp:effectExtent l="0" t="0" r="19050" b="15240"/>
                <wp:docPr id="12393409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798830"/>
                        </a:xfrm>
                        <a:prstGeom prst="rect">
                          <a:avLst/>
                        </a:prstGeom>
                        <a:solidFill>
                          <a:srgbClr val="FFFFFF"/>
                        </a:solidFill>
                        <a:ln w="9525">
                          <a:solidFill>
                            <a:srgbClr val="000000"/>
                          </a:solidFill>
                          <a:miter lim="800000"/>
                          <a:headEnd/>
                          <a:tailEnd/>
                        </a:ln>
                      </wps:spPr>
                      <wps:txbx>
                        <w:txbxContent>
                          <w:p w14:paraId="38CE7396" w14:textId="77777777" w:rsidR="00BE31F7" w:rsidRPr="00D64B2E" w:rsidRDefault="00BE31F7" w:rsidP="00365CE7">
                            <w:pPr>
                              <w:spacing w:after="0"/>
                            </w:pPr>
                            <w:r w:rsidRPr="00D64B2E">
                              <w:rPr>
                                <w:rFonts w:ascii="Times" w:eastAsia="Batang" w:hAnsi="Times"/>
                                <w:color w:val="181818"/>
                                <w:spacing w:val="-6"/>
                                <w:kern w:val="20"/>
                                <w:highlight w:val="green"/>
                              </w:rPr>
                              <w:t>Agreement</w:t>
                            </w:r>
                            <w:r w:rsidRPr="00D64B2E">
                              <w:rPr>
                                <w:rFonts w:ascii="Times" w:eastAsia="Batang" w:hAnsi="Times"/>
                                <w:color w:val="181818"/>
                                <w:spacing w:val="-6"/>
                                <w:kern w:val="20"/>
                              </w:rPr>
                              <w:t>:</w:t>
                            </w:r>
                          </w:p>
                          <w:p w14:paraId="63350E4B" w14:textId="77777777" w:rsidR="00BE31F7" w:rsidRPr="00D64B2E" w:rsidRDefault="00BE31F7" w:rsidP="00365CE7">
                            <w:pPr>
                              <w:spacing w:after="0"/>
                            </w:pPr>
                            <w:r w:rsidRPr="00D64B2E">
                              <w:rPr>
                                <w:rFonts w:ascii="Times" w:eastAsia="Batang" w:hAnsi="Times"/>
                                <w:color w:val="181818"/>
                                <w:spacing w:val="-6"/>
                                <w:kern w:val="20"/>
                              </w:rPr>
                              <w:t xml:space="preserve">Consider at least the following aspects of </w:t>
                            </w:r>
                            <w:r w:rsidRPr="00D64B2E">
                              <w:rPr>
                                <w:rFonts w:ascii="Times" w:eastAsia="Batang" w:hAnsi="Times"/>
                                <w:color w:val="181818"/>
                                <w:spacing w:val="-6"/>
                                <w:kern w:val="20"/>
                                <w:highlight w:val="yellow"/>
                              </w:rPr>
                              <w:t xml:space="preserve">DM-RS design </w:t>
                            </w:r>
                            <w:r w:rsidRPr="00D64B2E">
                              <w:rPr>
                                <w:rFonts w:ascii="Times" w:eastAsia="Batang" w:hAnsi="Times"/>
                                <w:color w:val="181818"/>
                                <w:spacing w:val="-6"/>
                                <w:kern w:val="20"/>
                              </w:rPr>
                              <w:t>for a given SCS</w:t>
                            </w:r>
                          </w:p>
                          <w:p w14:paraId="0572340F" w14:textId="77777777" w:rsidR="00BE31F7" w:rsidRPr="00D64B2E" w:rsidRDefault="00BE31F7" w:rsidP="00365CE7">
                            <w:pPr>
                              <w:numPr>
                                <w:ilvl w:val="0"/>
                                <w:numId w:val="43"/>
                              </w:numPr>
                              <w:overflowPunct/>
                              <w:autoSpaceDE/>
                              <w:autoSpaceDN/>
                              <w:adjustRightInd/>
                              <w:spacing w:after="0"/>
                              <w:ind w:left="1267"/>
                              <w:contextualSpacing/>
                              <w:rPr>
                                <w:color w:val="181818"/>
                              </w:rPr>
                            </w:pPr>
                            <w:r w:rsidRPr="00D64B2E">
                              <w:rPr>
                                <w:rFonts w:ascii="Times" w:eastAsia="Batang" w:hAnsi="Times"/>
                                <w:color w:val="181818"/>
                                <w:spacing w:val="-6"/>
                                <w:kern w:val="20"/>
                              </w:rPr>
                              <w:t>Channel estimation performance of existing DM-RS design with existing and new SCSs (if any)</w:t>
                            </w:r>
                          </w:p>
                          <w:p w14:paraId="0943CAA4" w14:textId="77777777" w:rsidR="00BE31F7" w:rsidRPr="00D64B2E" w:rsidRDefault="00BE31F7" w:rsidP="00365CE7">
                            <w:pPr>
                              <w:numPr>
                                <w:ilvl w:val="0"/>
                                <w:numId w:val="43"/>
                              </w:numPr>
                              <w:overflowPunct/>
                              <w:autoSpaceDE/>
                              <w:autoSpaceDN/>
                              <w:adjustRightInd/>
                              <w:spacing w:after="0"/>
                              <w:ind w:left="1267"/>
                              <w:contextualSpacing/>
                              <w:rPr>
                                <w:color w:val="181818"/>
                              </w:rPr>
                            </w:pPr>
                            <w:r w:rsidRPr="00D64B2E">
                              <w:rPr>
                                <w:rFonts w:ascii="Times" w:eastAsia="Batang" w:hAnsi="Times"/>
                                <w:color w:val="181818"/>
                                <w:spacing w:val="-6"/>
                                <w:kern w:val="20"/>
                              </w:rPr>
                              <w:t>Study whether there is a need of any modification/changes to existing DM-RS design</w:t>
                            </w:r>
                          </w:p>
                          <w:p w14:paraId="08C1A8FC" w14:textId="77777777" w:rsidR="00BE31F7" w:rsidRPr="00D64B2E" w:rsidRDefault="00BE31F7" w:rsidP="00365CE7">
                            <w:pPr>
                              <w:numPr>
                                <w:ilvl w:val="1"/>
                                <w:numId w:val="43"/>
                              </w:numPr>
                              <w:overflowPunct/>
                              <w:autoSpaceDE/>
                              <w:autoSpaceDN/>
                              <w:adjustRightInd/>
                              <w:spacing w:after="0"/>
                              <w:ind w:left="2606"/>
                              <w:contextualSpacing/>
                              <w:rPr>
                                <w:color w:val="181818"/>
                              </w:rPr>
                            </w:pPr>
                            <w:r w:rsidRPr="00D64B2E">
                              <w:rPr>
                                <w:rFonts w:ascii="Times" w:eastAsia="Batang" w:hAnsi="Times"/>
                                <w:color w:val="181818"/>
                                <w:spacing w:val="-6"/>
                                <w:kern w:val="20"/>
                              </w:rPr>
                              <w:t>Potential modification or introduction of new DM-RS pattern, configuration or indication to aid performance improvement for CP-OFDM and DFT-S OFDM waveforms (if needed)</w:t>
                            </w:r>
                          </w:p>
                        </w:txbxContent>
                      </wps:txbx>
                      <wps:bodyPr rot="0" vert="horz" wrap="square" lIns="91440" tIns="45720" rIns="91440" bIns="45720" anchor="t" anchorCtr="0">
                        <a:spAutoFit/>
                      </wps:bodyPr>
                    </wps:wsp>
                  </a:graphicData>
                </a:graphic>
              </wp:inline>
            </w:drawing>
          </mc:Choice>
          <mc:Fallback>
            <w:pict>
              <v:shape w14:anchorId="494628AC" id="_x0000_s1034" type="#_x0000_t202" style="width:480pt;height:6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">
                <v:textbox style="mso-fit-shape-to-text:t">
                  <w:txbxContent>
                    <w:p w14:paraId="38CE7396" w14:textId="77777777" w:rsidR="00BE31F7" w:rsidRPr="00D64B2E" w:rsidRDefault="00BE31F7" w:rsidP="00365CE7">
                      <w:pPr>
                        <w:spacing w:after="0"/>
                      </w:pPr>
                      <w:r w:rsidRPr="00D64B2E">
                        <w:rPr>
                          <w:rFonts w:ascii="Times" w:eastAsia="Batang" w:hAnsi="Times"/>
                          <w:color w:val="181818"/>
                          <w:spacing w:val="-6"/>
                          <w:kern w:val="20"/>
                          <w:highlight w:val="green"/>
                        </w:rPr>
                        <w:t>Agreement</w:t>
                      </w:r>
                      <w:r w:rsidRPr="00D64B2E">
                        <w:rPr>
                          <w:rFonts w:ascii="Times" w:eastAsia="Batang" w:hAnsi="Times"/>
                          <w:color w:val="181818"/>
                          <w:spacing w:val="-6"/>
                          <w:kern w:val="20"/>
                        </w:rPr>
                        <w:t>:</w:t>
                      </w:r>
                    </w:p>
                    <w:p w14:paraId="63350E4B" w14:textId="77777777" w:rsidR="00BE31F7" w:rsidRPr="00D64B2E" w:rsidRDefault="00BE31F7" w:rsidP="00365CE7">
                      <w:pPr>
                        <w:spacing w:after="0"/>
                      </w:pPr>
                      <w:r w:rsidRPr="00D64B2E">
                        <w:rPr>
                          <w:rFonts w:ascii="Times" w:eastAsia="Batang" w:hAnsi="Times"/>
                          <w:color w:val="181818"/>
                          <w:spacing w:val="-6"/>
                          <w:kern w:val="20"/>
                        </w:rPr>
                        <w:t xml:space="preserve">Consider at least the following aspects of </w:t>
                      </w:r>
                      <w:r w:rsidRPr="00D64B2E">
                        <w:rPr>
                          <w:rFonts w:ascii="Times" w:eastAsia="Batang" w:hAnsi="Times"/>
                          <w:color w:val="181818"/>
                          <w:spacing w:val="-6"/>
                          <w:kern w:val="20"/>
                          <w:highlight w:val="yellow"/>
                        </w:rPr>
                        <w:t xml:space="preserve">DM-RS design </w:t>
                      </w:r>
                      <w:r w:rsidRPr="00D64B2E">
                        <w:rPr>
                          <w:rFonts w:ascii="Times" w:eastAsia="Batang" w:hAnsi="Times"/>
                          <w:color w:val="181818"/>
                          <w:spacing w:val="-6"/>
                          <w:kern w:val="20"/>
                        </w:rPr>
                        <w:t>for a given SCS</w:t>
                      </w:r>
                    </w:p>
                    <w:p w14:paraId="0572340F" w14:textId="77777777" w:rsidR="00BE31F7" w:rsidRPr="00D64B2E" w:rsidRDefault="00BE31F7" w:rsidP="00365CE7">
                      <w:pPr>
                        <w:numPr>
                          <w:ilvl w:val="0"/>
                          <w:numId w:val="43"/>
                        </w:numPr>
                        <w:overflowPunct/>
                        <w:autoSpaceDE/>
                        <w:autoSpaceDN/>
                        <w:adjustRightInd/>
                        <w:spacing w:after="0"/>
                        <w:ind w:left="1267"/>
                        <w:contextualSpacing/>
                        <w:rPr>
                          <w:color w:val="181818"/>
                        </w:rPr>
                      </w:pPr>
                      <w:r w:rsidRPr="00D64B2E">
                        <w:rPr>
                          <w:rFonts w:ascii="Times" w:eastAsia="Batang" w:hAnsi="Times"/>
                          <w:color w:val="181818"/>
                          <w:spacing w:val="-6"/>
                          <w:kern w:val="20"/>
                        </w:rPr>
                        <w:t>Channel estimation performance of existing DM-RS design with existing and new SCSs (if any)</w:t>
                      </w:r>
                    </w:p>
                    <w:p w14:paraId="0943CAA4" w14:textId="77777777" w:rsidR="00BE31F7" w:rsidRPr="00D64B2E" w:rsidRDefault="00BE31F7" w:rsidP="00365CE7">
                      <w:pPr>
                        <w:numPr>
                          <w:ilvl w:val="0"/>
                          <w:numId w:val="43"/>
                        </w:numPr>
                        <w:overflowPunct/>
                        <w:autoSpaceDE/>
                        <w:autoSpaceDN/>
                        <w:adjustRightInd/>
                        <w:spacing w:after="0"/>
                        <w:ind w:left="1267"/>
                        <w:contextualSpacing/>
                        <w:rPr>
                          <w:color w:val="181818"/>
                        </w:rPr>
                      </w:pPr>
                      <w:r w:rsidRPr="00D64B2E">
                        <w:rPr>
                          <w:rFonts w:ascii="Times" w:eastAsia="Batang" w:hAnsi="Times"/>
                          <w:color w:val="181818"/>
                          <w:spacing w:val="-6"/>
                          <w:kern w:val="20"/>
                        </w:rPr>
                        <w:t>Study whether there is a need of any modification/changes to existing DM-RS design</w:t>
                      </w:r>
                    </w:p>
                    <w:p w14:paraId="08C1A8FC" w14:textId="77777777" w:rsidR="00BE31F7" w:rsidRPr="00D64B2E" w:rsidRDefault="00BE31F7" w:rsidP="00365CE7">
                      <w:pPr>
                        <w:numPr>
                          <w:ilvl w:val="1"/>
                          <w:numId w:val="43"/>
                        </w:numPr>
                        <w:overflowPunct/>
                        <w:autoSpaceDE/>
                        <w:autoSpaceDN/>
                        <w:adjustRightInd/>
                        <w:spacing w:after="0"/>
                        <w:ind w:left="2606"/>
                        <w:contextualSpacing/>
                        <w:rPr>
                          <w:color w:val="181818"/>
                        </w:rPr>
                      </w:pPr>
                      <w:r w:rsidRPr="00D64B2E">
                        <w:rPr>
                          <w:rFonts w:ascii="Times" w:eastAsia="Batang" w:hAnsi="Times"/>
                          <w:color w:val="181818"/>
                          <w:spacing w:val="-6"/>
                          <w:kern w:val="20"/>
                        </w:rPr>
                        <w:t>Potential modification or introduction of new DM-RS pattern, configuration or indication to aid performance improvement for CP-OFDM and DFT-S OFDM waveforms (if needed)</w:t>
                      </w:r>
                    </w:p>
                  </w:txbxContent>
                </v:textbox>
                <w10:anchorlock/>
              </v:shape>
            </w:pict>
          </mc:Fallback>
        </mc:AlternateContent>
      </w:r>
    </w:p>
    <w:p w14:paraId="1E684F4C" w14:textId="2E4CD0DE" w:rsidR="000534C9" w:rsidRDefault="00A56D2E" w:rsidP="00017B8B">
      <w:pPr>
        <w:pStyle w:val="BodyText"/>
        <w:spacing w:after="0"/>
      </w:pPr>
      <w:bookmarkStart w:id="679" w:name="_Toc46307404"/>
      <w:bookmarkStart w:id="680" w:name="_Toc47530181"/>
      <w:bookmarkEnd w:id="196"/>
      <w:r>
        <w:t xml:space="preserve">In the above agreement, channel estimation and DMRS design are identified as items to study. </w:t>
      </w:r>
      <w:r w:rsidR="00BC14D7">
        <w:t>The issue that was raised is that f</w:t>
      </w:r>
      <w:r>
        <w:t xml:space="preserve">or a channel with significant time dispersion (larger delay spread), </w:t>
      </w:r>
      <w:r w:rsidR="00BC14D7">
        <w:t xml:space="preserve">it was questioned </w:t>
      </w:r>
      <w:proofErr w:type="gramStart"/>
      <w:r w:rsidR="00BC14D7">
        <w:t>whether or not</w:t>
      </w:r>
      <w:proofErr w:type="gramEnd"/>
      <w:r w:rsidR="00BC14D7">
        <w:t xml:space="preserve"> </w:t>
      </w:r>
      <w:r>
        <w:t xml:space="preserve">the DMRS density defined in Rel-15 </w:t>
      </w:r>
      <w:r w:rsidR="00BC14D7">
        <w:t>is</w:t>
      </w:r>
      <w:r>
        <w:t xml:space="preserve"> sufficient. The thought was that as the subcarrier spacing is increased, there becomes fewer DMRS symbols within the coherence bandwidth of the channel. Here we investigate this </w:t>
      </w:r>
      <w:r w:rsidR="00E2446B">
        <w:t xml:space="preserve">effect by comparing the performance of a practical channel estimation scheme to the ideal (genie) channel estimator for two </w:t>
      </w:r>
      <w:r w:rsidR="00BC14D7">
        <w:t xml:space="preserve">different </w:t>
      </w:r>
      <w:r w:rsidR="00E2446B">
        <w:t xml:space="preserve">delay spread values: </w:t>
      </w:r>
      <w:r w:rsidR="00BC14D7">
        <w:t>small</w:t>
      </w:r>
      <w:r w:rsidR="00E2446B">
        <w:t xml:space="preserve"> = 10 ns and </w:t>
      </w:r>
      <w:r w:rsidR="00BC14D7">
        <w:t>large</w:t>
      </w:r>
      <w:r w:rsidR="00E2446B">
        <w:t xml:space="preserve"> = 40 ns</w:t>
      </w:r>
      <w:r w:rsidR="000534C9">
        <w:t xml:space="preserve"> using the Rel-15 DMRS structure (Type 1)</w:t>
      </w:r>
      <w:r w:rsidR="00E2446B">
        <w:t>.</w:t>
      </w:r>
      <w:r w:rsidR="00BC14D7">
        <w:t xml:space="preserve"> For the practical channel estimation scheme</w:t>
      </w:r>
      <w:r w:rsidR="000534C9">
        <w:t xml:space="preserve">, we observe that </w:t>
      </w:r>
      <w:r w:rsidR="00BC14D7">
        <w:t xml:space="preserve">it is not always beneficial to estimate all channel taps, especially </w:t>
      </w:r>
      <w:r w:rsidR="000534C9">
        <w:t>the weaker ones</w:t>
      </w:r>
      <w:r w:rsidR="00BC14D7">
        <w:t xml:space="preserve">. There is a trade-off </w:t>
      </w:r>
      <w:r w:rsidR="000534C9">
        <w:t xml:space="preserve">in overall PDSCH performance between collecting energy from different delayed versions of the received signal and channel estimation error due to weak channel taps. </w:t>
      </w:r>
      <w:r w:rsidR="00D078F7">
        <w:t xml:space="preserve">Furthermore, </w:t>
      </w:r>
      <w:r w:rsidR="00437989">
        <w:t>how</w:t>
      </w:r>
      <w:r w:rsidR="000534C9">
        <w:t xml:space="preserve"> the </w:t>
      </w:r>
      <w:r w:rsidR="00437989">
        <w:t xml:space="preserve">raw </w:t>
      </w:r>
      <w:r w:rsidR="00D94DFD">
        <w:t xml:space="preserve">DMRS </w:t>
      </w:r>
      <w:r w:rsidR="003D50A3">
        <w:t xml:space="preserve">estimates </w:t>
      </w:r>
      <w:r w:rsidR="00D94DFD">
        <w:t xml:space="preserve">are </w:t>
      </w:r>
      <w:r w:rsidR="0021786F">
        <w:t>filtered and inter</w:t>
      </w:r>
      <w:r w:rsidR="00BF148B">
        <w:t xml:space="preserve">polated in frequency and time can be </w:t>
      </w:r>
      <w:r w:rsidR="00D62848">
        <w:t>varied</w:t>
      </w:r>
      <w:r w:rsidR="000534C9">
        <w:t xml:space="preserve"> for </w:t>
      </w:r>
      <w:r w:rsidR="00D62848">
        <w:t xml:space="preserve">different channel conditions. </w:t>
      </w:r>
      <w:r w:rsidR="000534C9">
        <w:t xml:space="preserve">In the results shown below, we account for </w:t>
      </w:r>
      <w:r w:rsidR="00D62848">
        <w:t xml:space="preserve">these </w:t>
      </w:r>
      <w:r w:rsidR="00860E35">
        <w:t>factors</w:t>
      </w:r>
      <w:r w:rsidR="000534C9">
        <w:t xml:space="preserve"> by varying </w:t>
      </w:r>
      <w:r w:rsidR="00860E35">
        <w:t xml:space="preserve">the </w:t>
      </w:r>
      <w:r w:rsidR="000534C9">
        <w:t>channel estimator</w:t>
      </w:r>
      <w:r w:rsidR="00860E35">
        <w:t xml:space="preserve"> parameter</w:t>
      </w:r>
      <w:r w:rsidR="000534C9">
        <w:t>.</w:t>
      </w:r>
    </w:p>
    <w:p w14:paraId="2C1E989D" w14:textId="77777777" w:rsidR="000534C9" w:rsidRDefault="000534C9" w:rsidP="00017B8B">
      <w:pPr>
        <w:pStyle w:val="BodyText"/>
        <w:spacing w:after="0"/>
      </w:pPr>
    </w:p>
    <w:p w14:paraId="79D2D9B1" w14:textId="5DB787C6" w:rsidR="00017B8B" w:rsidRDefault="00BC14D7" w:rsidP="00017B8B">
      <w:pPr>
        <w:pStyle w:val="BodyText"/>
        <w:spacing w:after="0"/>
      </w:pPr>
      <w:r>
        <w:fldChar w:fldCharType="begin"/>
      </w:r>
      <w:r>
        <w:instrText xml:space="preserve"> REF _Ref53655959 \h </w:instrText>
      </w:r>
      <w:r>
        <w:fldChar w:fldCharType="separate"/>
      </w:r>
      <w:r w:rsidR="00BE31F7">
        <w:t xml:space="preserve">Figure </w:t>
      </w:r>
      <w:r w:rsidR="00BE31F7">
        <w:rPr>
          <w:noProof/>
        </w:rPr>
        <w:t>45</w:t>
      </w:r>
      <w:r>
        <w:fldChar w:fldCharType="end"/>
      </w:r>
      <w:r>
        <w:t xml:space="preserve"> and </w:t>
      </w:r>
      <w:r>
        <w:fldChar w:fldCharType="begin"/>
      </w:r>
      <w:r>
        <w:instrText xml:space="preserve"> REF _Ref53655960 \h </w:instrText>
      </w:r>
      <w:r>
        <w:fldChar w:fldCharType="separate"/>
      </w:r>
      <w:r w:rsidR="00BE31F7">
        <w:t xml:space="preserve">Figure </w:t>
      </w:r>
      <w:r w:rsidR="00BE31F7">
        <w:rPr>
          <w:noProof/>
        </w:rPr>
        <w:t>46</w:t>
      </w:r>
      <w:r>
        <w:fldChar w:fldCharType="end"/>
      </w:r>
      <w:r>
        <w:t xml:space="preserve"> show the PDSCH performance for subcarrier spacings 480 kHz and 960 kHz, respectively. In both cases we consider ECP in order to </w:t>
      </w:r>
      <w:r w:rsidR="00853FC3">
        <w:t>minimize</w:t>
      </w:r>
      <w:r>
        <w:t xml:space="preserve"> the effect of ISI which</w:t>
      </w:r>
      <w:r w:rsidR="00853FC3">
        <w:t xml:space="preserve"> is otherwise</w:t>
      </w:r>
      <w:r>
        <w:t xml:space="preserve"> dominant for 960 kHz </w:t>
      </w:r>
      <w:r w:rsidR="00853FC3">
        <w:t xml:space="preserve">with NCP and </w:t>
      </w:r>
      <w:r>
        <w:t xml:space="preserve">40 ns delay spread. </w:t>
      </w:r>
      <w:r w:rsidR="00853FC3">
        <w:t xml:space="preserve">Furthermore, we assume no phase noise. </w:t>
      </w:r>
      <w:r>
        <w:t xml:space="preserve">This allows us to isolate the effect of channel estimation error. While we consider ECP here, there are strong reasons why ECP is not </w:t>
      </w:r>
      <w:r w:rsidR="000534C9">
        <w:t>beneficial</w:t>
      </w:r>
      <w:r>
        <w:t xml:space="preserve"> for operation in the &gt;52.6 GHz band as we discuss in Section 3.3.3.2. </w:t>
      </w:r>
    </w:p>
    <w:p w14:paraId="7D4BC035" w14:textId="61D4EB2A" w:rsidR="00A56D2E" w:rsidRDefault="00A56D2E" w:rsidP="00017B8B">
      <w:pPr>
        <w:pStyle w:val="BodyText"/>
        <w:spacing w:after="0"/>
      </w:pPr>
    </w:p>
    <w:p w14:paraId="404E9F39" w14:textId="492B3349" w:rsidR="00A56D2E" w:rsidRDefault="00FC7540" w:rsidP="00017B8B">
      <w:pPr>
        <w:pStyle w:val="BodyText"/>
        <w:spacing w:after="0"/>
      </w:pPr>
      <w:r>
        <w:t>From these results, we observe the following:</w:t>
      </w:r>
    </w:p>
    <w:p w14:paraId="195B4D77" w14:textId="28C69BCF" w:rsidR="008904CB" w:rsidRDefault="008904CB" w:rsidP="004F69A1">
      <w:pPr>
        <w:pStyle w:val="BodyText"/>
        <w:numPr>
          <w:ilvl w:val="0"/>
          <w:numId w:val="28"/>
        </w:numPr>
        <w:spacing w:after="0"/>
      </w:pPr>
      <w:r>
        <w:t>For small delay spread, we observe only a minimal gap in performance between the ideal and practical for both 480 and 960 kHz SCS</w:t>
      </w:r>
    </w:p>
    <w:p w14:paraId="0F669809" w14:textId="094F9C3B" w:rsidR="00FC7540" w:rsidRDefault="008904CB">
      <w:pPr>
        <w:pStyle w:val="BodyText"/>
        <w:numPr>
          <w:ilvl w:val="0"/>
          <w:numId w:val="28"/>
        </w:numPr>
        <w:spacing w:after="0"/>
      </w:pPr>
      <w:r>
        <w:t>For 480 kHz and large delay spread, we observe a</w:t>
      </w:r>
      <w:r w:rsidR="00FC7540">
        <w:t xml:space="preserve"> </w:t>
      </w:r>
      <w:r>
        <w:t>small</w:t>
      </w:r>
      <w:r w:rsidR="00FC7540">
        <w:t xml:space="preserve"> gap in performance between the ideal and practical channel estimator. Tuning the channel estimator</w:t>
      </w:r>
      <w:r>
        <w:t xml:space="preserve">, while </w:t>
      </w:r>
      <w:r w:rsidR="00853FC3">
        <w:t>helpful</w:t>
      </w:r>
      <w:r>
        <w:t>, is not essential to realize good performance.</w:t>
      </w:r>
    </w:p>
    <w:p w14:paraId="7668A5BF" w14:textId="77777777" w:rsidR="008904CB" w:rsidRDefault="008904CB" w:rsidP="008904CB">
      <w:pPr>
        <w:pStyle w:val="BodyText"/>
        <w:numPr>
          <w:ilvl w:val="1"/>
          <w:numId w:val="28"/>
        </w:numPr>
        <w:spacing w:after="0"/>
      </w:pPr>
      <w:r>
        <w:t>Hence, for up to 480 kHz SCS and large delay spread, the room for improvement with a change to the Rel-15 DMRS design is very limited</w:t>
      </w:r>
    </w:p>
    <w:p w14:paraId="224D32C2" w14:textId="3D88F8A5" w:rsidR="008904CB" w:rsidRDefault="008904CB" w:rsidP="008904CB">
      <w:pPr>
        <w:pStyle w:val="BodyText"/>
        <w:numPr>
          <w:ilvl w:val="0"/>
          <w:numId w:val="28"/>
        </w:numPr>
        <w:spacing w:after="0"/>
      </w:pPr>
      <w:r>
        <w:t>For 960 kHz SCS and large delay spread, we observe a larger gap in performance between the ideal and practical channel estimator. Tuning the channel estimator becomes essential.</w:t>
      </w:r>
    </w:p>
    <w:p w14:paraId="4AB7A8B5" w14:textId="1552C375" w:rsidR="008904CB" w:rsidRDefault="008904CB" w:rsidP="008904CB">
      <w:pPr>
        <w:pStyle w:val="BodyText"/>
        <w:numPr>
          <w:ilvl w:val="1"/>
          <w:numId w:val="28"/>
        </w:numPr>
        <w:spacing w:after="0"/>
      </w:pPr>
      <w:r>
        <w:t>While there appears to be an opportunity</w:t>
      </w:r>
      <w:r w:rsidR="00853FC3">
        <w:t xml:space="preserve"> for performance improvement with a change to the Rel-15 DMRS design, we stress that 960 kHz SCS suffers from many problems as we discuss in other parts of this contribution. These results provide </w:t>
      </w:r>
      <w:r w:rsidR="00185680">
        <w:t xml:space="preserve">an </w:t>
      </w:r>
      <w:r w:rsidR="00853FC3">
        <w:t>additional evidence that 960 kHz SCS is undesirable for operation in the 52.6 – 71 GHz band.</w:t>
      </w:r>
    </w:p>
    <w:p w14:paraId="4E30D81E" w14:textId="7319826F" w:rsidR="00853FC3" w:rsidRDefault="00853FC3" w:rsidP="00853FC3">
      <w:pPr>
        <w:pStyle w:val="BodyText"/>
        <w:spacing w:after="0"/>
      </w:pPr>
    </w:p>
    <w:p w14:paraId="34ADD46F" w14:textId="4F695508" w:rsidR="00853FC3" w:rsidRDefault="00853FC3" w:rsidP="004F69A1">
      <w:pPr>
        <w:pStyle w:val="Proposal"/>
      </w:pPr>
      <w:bookmarkStart w:id="681" w:name="_Toc53776230"/>
      <w:r>
        <w:t>Capture the following observation in TR 38.808. For 480 kHz SCS and below with large delay spread, the room for performance improvement with a change to the Rel-15 DMRS design is very limited.</w:t>
      </w:r>
      <w:bookmarkEnd w:id="681"/>
      <w:r>
        <w:t xml:space="preserve"> </w:t>
      </w:r>
    </w:p>
    <w:p w14:paraId="11A73849" w14:textId="3885D0FB" w:rsidR="00A56D2E" w:rsidRDefault="00A56D2E" w:rsidP="00017B8B">
      <w:pPr>
        <w:pStyle w:val="BodyText"/>
        <w:spacing w:after="0"/>
      </w:pPr>
    </w:p>
    <w:p w14:paraId="052BBE30" w14:textId="0E59FAF4" w:rsidR="00A56D2E" w:rsidRDefault="007162F5">
      <w:pPr>
        <w:pStyle w:val="BodyText"/>
        <w:tabs>
          <w:tab w:val="center" w:pos="2880"/>
          <w:tab w:val="center" w:pos="6750"/>
        </w:tabs>
        <w:spacing w:after="0"/>
      </w:pPr>
      <w:r>
        <w:lastRenderedPageBreak/>
        <w:tab/>
      </w:r>
      <w:r w:rsidR="00C031F8">
        <w:rPr>
          <w:noProof/>
        </w:rPr>
        <w:drawing>
          <wp:inline distT="0" distB="0" distL="0" distR="0" wp14:anchorId="3D390B72" wp14:editId="7982AF21">
            <wp:extent cx="2743200" cy="2038554"/>
            <wp:effectExtent l="0" t="0" r="0" b="0"/>
            <wp:docPr id="1614471055" name="Picture 161447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743200" cy="2038554"/>
                    </a:xfrm>
                    <a:prstGeom prst="rect">
                      <a:avLst/>
                    </a:prstGeom>
                    <a:noFill/>
                    <a:ln>
                      <a:noFill/>
                    </a:ln>
                  </pic:spPr>
                </pic:pic>
              </a:graphicData>
            </a:graphic>
          </wp:inline>
        </w:drawing>
      </w:r>
      <w:r>
        <w:tab/>
      </w:r>
      <w:r w:rsidR="000206AE">
        <w:rPr>
          <w:noProof/>
        </w:rPr>
        <w:drawing>
          <wp:inline distT="0" distB="0" distL="0" distR="0" wp14:anchorId="469E9C11" wp14:editId="0A6954CF">
            <wp:extent cx="2743200" cy="2038554"/>
            <wp:effectExtent l="0" t="0" r="0" b="0"/>
            <wp:docPr id="1614471054" name="Picture 161447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43200" cy="2038554"/>
                    </a:xfrm>
                    <a:prstGeom prst="rect">
                      <a:avLst/>
                    </a:prstGeom>
                    <a:noFill/>
                    <a:ln>
                      <a:noFill/>
                    </a:ln>
                  </pic:spPr>
                </pic:pic>
              </a:graphicData>
            </a:graphic>
          </wp:inline>
        </w:drawing>
      </w:r>
    </w:p>
    <w:p w14:paraId="410E6422" w14:textId="5855DD45" w:rsidR="007162F5" w:rsidRDefault="007162F5" w:rsidP="007162F5">
      <w:pPr>
        <w:pStyle w:val="BodyText"/>
        <w:numPr>
          <w:ilvl w:val="0"/>
          <w:numId w:val="88"/>
        </w:numPr>
        <w:tabs>
          <w:tab w:val="center" w:pos="2880"/>
          <w:tab w:val="center" w:pos="6750"/>
        </w:tabs>
        <w:spacing w:after="0"/>
      </w:pPr>
      <w:r>
        <w:t>(b)</w:t>
      </w:r>
    </w:p>
    <w:p w14:paraId="711691CE" w14:textId="427BA423" w:rsidR="00CD5342" w:rsidRDefault="00CD5342" w:rsidP="004F69A1">
      <w:pPr>
        <w:pStyle w:val="Caption"/>
      </w:pPr>
      <w:bookmarkStart w:id="682" w:name="_Ref53655959"/>
      <w:r>
        <w:t xml:space="preserve">Figure </w:t>
      </w:r>
      <w:fldSimple w:instr=" SEQ Figure \* ARABIC ">
        <w:r w:rsidR="00BE31F7">
          <w:rPr>
            <w:noProof/>
          </w:rPr>
          <w:t>45</w:t>
        </w:r>
      </w:fldSimple>
      <w:bookmarkEnd w:id="682"/>
      <w:r>
        <w:t>:</w:t>
      </w:r>
      <w:r w:rsidRPr="00CD5342">
        <w:t xml:space="preserve"> </w:t>
      </w:r>
      <w:r>
        <w:t xml:space="preserve">PDSCH performance for MCS22 for 480 kHz + ECP in TDL-A channel with delay spread of (a) 10 ns, and (b) 40 ns. </w:t>
      </w:r>
    </w:p>
    <w:p w14:paraId="5CD5F308" w14:textId="7037241C" w:rsidR="007162F5" w:rsidRDefault="007162F5" w:rsidP="007162F5">
      <w:pPr>
        <w:pStyle w:val="BodyText"/>
        <w:tabs>
          <w:tab w:val="center" w:pos="2880"/>
          <w:tab w:val="center" w:pos="6750"/>
        </w:tabs>
        <w:spacing w:after="0"/>
      </w:pPr>
    </w:p>
    <w:p w14:paraId="0E7131B3" w14:textId="068AF473" w:rsidR="007162F5" w:rsidRDefault="007162F5">
      <w:pPr>
        <w:pStyle w:val="BodyText"/>
        <w:tabs>
          <w:tab w:val="center" w:pos="2880"/>
          <w:tab w:val="center" w:pos="6750"/>
        </w:tabs>
        <w:spacing w:after="0"/>
      </w:pPr>
      <w:r>
        <w:tab/>
      </w:r>
      <w:r w:rsidR="00154F31">
        <w:rPr>
          <w:noProof/>
        </w:rPr>
        <w:drawing>
          <wp:inline distT="0" distB="0" distL="0" distR="0" wp14:anchorId="32F83F6F" wp14:editId="78A662AF">
            <wp:extent cx="2743200" cy="2038554"/>
            <wp:effectExtent l="0" t="0" r="0" b="0"/>
            <wp:docPr id="1614471053" name="Picture 161447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743200" cy="2038554"/>
                    </a:xfrm>
                    <a:prstGeom prst="rect">
                      <a:avLst/>
                    </a:prstGeom>
                    <a:noFill/>
                    <a:ln>
                      <a:noFill/>
                    </a:ln>
                  </pic:spPr>
                </pic:pic>
              </a:graphicData>
            </a:graphic>
          </wp:inline>
        </w:drawing>
      </w:r>
      <w:r>
        <w:tab/>
      </w:r>
      <w:r w:rsidR="00527D36">
        <w:rPr>
          <w:noProof/>
        </w:rPr>
        <w:drawing>
          <wp:inline distT="0" distB="0" distL="0" distR="0" wp14:anchorId="304BD583" wp14:editId="2232E690">
            <wp:extent cx="2743200" cy="2038555"/>
            <wp:effectExtent l="0" t="0" r="0" b="0"/>
            <wp:docPr id="1614471051" name="Picture 161447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43200" cy="2038555"/>
                    </a:xfrm>
                    <a:prstGeom prst="rect">
                      <a:avLst/>
                    </a:prstGeom>
                    <a:noFill/>
                    <a:ln>
                      <a:noFill/>
                    </a:ln>
                  </pic:spPr>
                </pic:pic>
              </a:graphicData>
            </a:graphic>
          </wp:inline>
        </w:drawing>
      </w:r>
    </w:p>
    <w:p w14:paraId="0FC4E73C" w14:textId="4F13AC33" w:rsidR="007162F5" w:rsidRDefault="00CD5342" w:rsidP="004F69A1">
      <w:pPr>
        <w:pStyle w:val="BodyText"/>
        <w:numPr>
          <w:ilvl w:val="0"/>
          <w:numId w:val="90"/>
        </w:numPr>
        <w:tabs>
          <w:tab w:val="center" w:pos="2880"/>
          <w:tab w:val="center" w:pos="6750"/>
        </w:tabs>
        <w:spacing w:after="0"/>
      </w:pPr>
      <w:r>
        <w:t>(b)</w:t>
      </w:r>
    </w:p>
    <w:p w14:paraId="076F4281" w14:textId="6B8998E3" w:rsidR="00BC14D7" w:rsidRDefault="00CD5342" w:rsidP="004F69A1">
      <w:pPr>
        <w:pStyle w:val="Caption"/>
      </w:pPr>
      <w:bookmarkStart w:id="683" w:name="_Ref53655960"/>
      <w:r>
        <w:t xml:space="preserve">Figure </w:t>
      </w:r>
      <w:fldSimple w:instr=" SEQ Figure \* ARABIC ">
        <w:r w:rsidR="00BE31F7">
          <w:rPr>
            <w:noProof/>
          </w:rPr>
          <w:t>46</w:t>
        </w:r>
      </w:fldSimple>
      <w:bookmarkEnd w:id="683"/>
      <w:r>
        <w:t>: PDSCH performance for MCS22 for 960 kHz + ECP in TDL-A channel with delay spread of (a) 10 ns, and (b) 40 ns.</w:t>
      </w:r>
    </w:p>
    <w:p w14:paraId="7C06A638" w14:textId="07EF48D9" w:rsidR="004737E1" w:rsidRPr="004F69A1" w:rsidRDefault="004737E1" w:rsidP="004F69A1">
      <w:pPr>
        <w:pStyle w:val="BodyText"/>
        <w:tabs>
          <w:tab w:val="center" w:pos="2880"/>
          <w:tab w:val="center" w:pos="6750"/>
        </w:tabs>
        <w:spacing w:after="0"/>
      </w:pPr>
    </w:p>
    <w:p w14:paraId="525970CF" w14:textId="0BAC2C37" w:rsidR="00680E5B" w:rsidRDefault="00D64B2E" w:rsidP="00680E5B">
      <w:pPr>
        <w:pStyle w:val="Heading2"/>
      </w:pPr>
      <w:bookmarkStart w:id="684" w:name="_Toc53775908"/>
      <w:r w:rsidRPr="00D64B2E">
        <w:rPr>
          <w:noProof/>
        </w:rPr>
        <mc:AlternateContent>
          <mc:Choice Requires="wps">
            <w:drawing>
              <wp:anchor distT="45720" distB="45720" distL="114300" distR="114300" simplePos="0" relativeHeight="251658241" behindDoc="0" locked="0" layoutInCell="1" allowOverlap="1" wp14:anchorId="33B3FC9E" wp14:editId="2110C124">
                <wp:simplePos x="0" y="0"/>
                <wp:positionH relativeFrom="margin">
                  <wp:align>right</wp:align>
                </wp:positionH>
                <wp:positionV relativeFrom="paragraph">
                  <wp:posOffset>530225</wp:posOffset>
                </wp:positionV>
                <wp:extent cx="6086475" cy="798830"/>
                <wp:effectExtent l="0" t="0" r="28575" b="26670"/>
                <wp:wrapTopAndBottom/>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86475" cy="798830"/>
                        </a:xfrm>
                        <a:prstGeom prst="rect">
                          <a:avLst/>
                        </a:prstGeom>
                        <a:solidFill>
                          <a:srgbClr val="FFFFFF"/>
                        </a:solidFill>
                        <a:ln w="9525">
                          <a:solidFill>
                            <a:srgbClr val="000000"/>
                          </a:solidFill>
                          <a:miter lim="800000"/>
                          <a:headEnd/>
                          <a:tailEnd/>
                        </a:ln>
                      </wps:spPr>
                      <wps:txbx>
                        <w:txbxContent>
                          <w:p w14:paraId="08B397E2" w14:textId="5EED23BA" w:rsidR="00BE31F7" w:rsidRPr="00D64B2E" w:rsidRDefault="00BE31F7" w:rsidP="00D64B2E">
                            <w:pPr>
                              <w:spacing w:after="0"/>
                              <w:rPr>
                                <w:lang w:eastAsia="en-US"/>
                              </w:rPr>
                            </w:pPr>
                            <w:r w:rsidRPr="00D64B2E">
                              <w:rPr>
                                <w:rFonts w:ascii="Times" w:eastAsia="Batang" w:hAnsi="Times"/>
                                <w:color w:val="181818"/>
                                <w:spacing w:val="-6"/>
                                <w:kern w:val="20"/>
                                <w:highlight w:val="green"/>
                                <w:lang w:eastAsia="en-US"/>
                              </w:rPr>
                              <w:t>Agreement</w:t>
                            </w:r>
                            <w:r w:rsidRPr="00D64B2E">
                              <w:rPr>
                                <w:rFonts w:ascii="Times" w:eastAsia="Batang" w:hAnsi="Times"/>
                                <w:color w:val="181818"/>
                                <w:spacing w:val="-6"/>
                                <w:kern w:val="20"/>
                                <w:lang w:eastAsia="en-US"/>
                              </w:rPr>
                              <w:t>:</w:t>
                            </w:r>
                          </w:p>
                          <w:p w14:paraId="6CD660A0" w14:textId="77777777" w:rsidR="00BE31F7" w:rsidRPr="00D64B2E" w:rsidRDefault="00BE31F7" w:rsidP="00D64B2E">
                            <w:pPr>
                              <w:overflowPunct/>
                              <w:autoSpaceDE/>
                              <w:autoSpaceDN/>
                              <w:adjustRightInd/>
                              <w:spacing w:after="0"/>
                              <w:rPr>
                                <w:lang w:eastAsia="en-US"/>
                              </w:rPr>
                            </w:pPr>
                            <w:r w:rsidRPr="00D64B2E">
                              <w:rPr>
                                <w:rFonts w:ascii="Times" w:eastAsia="Batang" w:hAnsi="Times"/>
                                <w:color w:val="181818"/>
                                <w:spacing w:val="-6"/>
                                <w:kern w:val="20"/>
                                <w:lang w:eastAsia="en-US"/>
                              </w:rPr>
                              <w:t xml:space="preserve">Consider at least the following aspects for </w:t>
                            </w:r>
                            <w:r w:rsidRPr="00D64B2E">
                              <w:rPr>
                                <w:rFonts w:ascii="Times" w:eastAsia="Batang" w:hAnsi="Times"/>
                                <w:color w:val="181818"/>
                                <w:spacing w:val="-6"/>
                                <w:kern w:val="20"/>
                                <w:highlight w:val="yellow"/>
                                <w:lang w:eastAsia="en-US"/>
                              </w:rPr>
                              <w:t>uplink transmission</w:t>
                            </w:r>
                          </w:p>
                          <w:p w14:paraId="7745C010" w14:textId="77777777" w:rsidR="00BE31F7" w:rsidRPr="00D64B2E" w:rsidRDefault="00BE31F7" w:rsidP="00B15474">
                            <w:pPr>
                              <w:numPr>
                                <w:ilvl w:val="0"/>
                                <w:numId w:val="44"/>
                              </w:numPr>
                              <w:overflowPunct/>
                              <w:autoSpaceDE/>
                              <w:autoSpaceDN/>
                              <w:adjustRightInd/>
                              <w:spacing w:after="0" w:line="259" w:lineRule="auto"/>
                              <w:ind w:left="1267"/>
                              <w:contextualSpacing/>
                              <w:textAlignment w:val="auto"/>
                              <w:rPr>
                                <w:color w:val="181818"/>
                                <w:lang w:eastAsia="en-US"/>
                              </w:rPr>
                            </w:pPr>
                            <w:r w:rsidRPr="00D64B2E">
                              <w:rPr>
                                <w:rFonts w:ascii="Times" w:eastAsia="Batang" w:hAnsi="Times"/>
                                <w:color w:val="181818"/>
                                <w:spacing w:val="-6"/>
                                <w:kern w:val="20"/>
                                <w:lang w:eastAsia="en-US"/>
                              </w:rPr>
                              <w:t>Study of potential enhancements for PUSCH/PUCCH/PRACH transmissions to achieve higher transmit power (when transmit power spectral density limits apply), if needed</w:t>
                            </w:r>
                          </w:p>
                          <w:p w14:paraId="49E617A1" w14:textId="77777777" w:rsidR="00BE31F7" w:rsidRPr="00D64B2E" w:rsidRDefault="00BE31F7" w:rsidP="00B15474">
                            <w:pPr>
                              <w:numPr>
                                <w:ilvl w:val="0"/>
                                <w:numId w:val="44"/>
                              </w:numPr>
                              <w:overflowPunct/>
                              <w:autoSpaceDE/>
                              <w:autoSpaceDN/>
                              <w:adjustRightInd/>
                              <w:spacing w:after="0" w:line="259" w:lineRule="auto"/>
                              <w:ind w:left="1267"/>
                              <w:contextualSpacing/>
                              <w:textAlignment w:val="auto"/>
                              <w:rPr>
                                <w:color w:val="181818"/>
                                <w:lang w:eastAsia="en-US"/>
                              </w:rPr>
                            </w:pPr>
                            <w:r w:rsidRPr="00D64B2E">
                              <w:rPr>
                                <w:rFonts w:ascii="Times" w:eastAsia="Batang" w:hAnsi="Times"/>
                                <w:color w:val="181818"/>
                                <w:spacing w:val="-6"/>
                                <w:kern w:val="20"/>
                                <w:lang w:eastAsia="en-US"/>
                              </w:rPr>
                              <w:t>Study whether uplink interlace needs to be supported for unlicensed operation in 60 GHz band.</w:t>
                            </w:r>
                          </w:p>
                          <w:p w14:paraId="166A3BDB" w14:textId="7E547687" w:rsidR="00BE31F7" w:rsidRPr="00D64B2E" w:rsidRDefault="00BE31F7" w:rsidP="00B15474">
                            <w:pPr>
                              <w:numPr>
                                <w:ilvl w:val="1"/>
                                <w:numId w:val="44"/>
                              </w:numPr>
                              <w:overflowPunct/>
                              <w:autoSpaceDE/>
                              <w:autoSpaceDN/>
                              <w:adjustRightInd/>
                              <w:spacing w:after="0" w:line="259" w:lineRule="auto"/>
                              <w:ind w:left="2606"/>
                              <w:contextualSpacing/>
                              <w:textAlignment w:val="auto"/>
                              <w:rPr>
                                <w:color w:val="181818"/>
                                <w:lang w:eastAsia="en-US"/>
                              </w:rPr>
                            </w:pPr>
                            <w:r w:rsidRPr="00D64B2E">
                              <w:rPr>
                                <w:rFonts w:ascii="Times" w:eastAsia="Batang" w:hAnsi="Times"/>
                                <w:color w:val="181818"/>
                                <w:spacing w:val="-6"/>
                                <w:kern w:val="20"/>
                                <w:lang w:eastAsia="en-US"/>
                              </w:rPr>
                              <w:t>If supported, study uplink PRB and/or sub-PRB based interlace design for PUCCH, PUSCH, and/or SRS.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3B3FC9E" id="_x0000_s1035" type="#_x0000_t202" style="position:absolute;left:0;text-align:left;margin-left:428.05pt;margin-top:41.75pt;width:479.25pt;height:62.9pt;z-index:251658241;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">
                <v:textbox style="mso-fit-shape-to-text:t">
                  <w:txbxContent>
                    <w:p w14:paraId="08B397E2" w14:textId="5EED23BA" w:rsidR="00BE31F7" w:rsidRPr="00D64B2E" w:rsidRDefault="00BE31F7" w:rsidP="00D64B2E">
                      <w:pPr>
                        <w:spacing w:after="0"/>
                        <w:rPr>
                          <w:lang w:eastAsia="en-US"/>
                        </w:rPr>
                      </w:pPr>
                      <w:r w:rsidRPr="00D64B2E">
                        <w:rPr>
                          <w:rFonts w:ascii="Times" w:eastAsia="Batang" w:hAnsi="Times"/>
                          <w:color w:val="181818"/>
                          <w:spacing w:val="-6"/>
                          <w:kern w:val="20"/>
                          <w:highlight w:val="green"/>
                          <w:lang w:eastAsia="en-US"/>
                        </w:rPr>
                        <w:t>Agreement</w:t>
                      </w:r>
                      <w:r w:rsidRPr="00D64B2E">
                        <w:rPr>
                          <w:rFonts w:ascii="Times" w:eastAsia="Batang" w:hAnsi="Times"/>
                          <w:color w:val="181818"/>
                          <w:spacing w:val="-6"/>
                          <w:kern w:val="20"/>
                          <w:lang w:eastAsia="en-US"/>
                        </w:rPr>
                        <w:t>:</w:t>
                      </w:r>
                    </w:p>
                    <w:p w14:paraId="6CD660A0" w14:textId="77777777" w:rsidR="00BE31F7" w:rsidRPr="00D64B2E" w:rsidRDefault="00BE31F7" w:rsidP="00D64B2E">
                      <w:pPr>
                        <w:overflowPunct/>
                        <w:autoSpaceDE/>
                        <w:autoSpaceDN/>
                        <w:adjustRightInd/>
                        <w:spacing w:after="0"/>
                        <w:rPr>
                          <w:lang w:eastAsia="en-US"/>
                        </w:rPr>
                      </w:pPr>
                      <w:r w:rsidRPr="00D64B2E">
                        <w:rPr>
                          <w:rFonts w:ascii="Times" w:eastAsia="Batang" w:hAnsi="Times"/>
                          <w:color w:val="181818"/>
                          <w:spacing w:val="-6"/>
                          <w:kern w:val="20"/>
                          <w:lang w:eastAsia="en-US"/>
                        </w:rPr>
                        <w:t xml:space="preserve">Consider at least the following aspects for </w:t>
                      </w:r>
                      <w:r w:rsidRPr="00D64B2E">
                        <w:rPr>
                          <w:rFonts w:ascii="Times" w:eastAsia="Batang" w:hAnsi="Times"/>
                          <w:color w:val="181818"/>
                          <w:spacing w:val="-6"/>
                          <w:kern w:val="20"/>
                          <w:highlight w:val="yellow"/>
                          <w:lang w:eastAsia="en-US"/>
                        </w:rPr>
                        <w:t>uplink transmission</w:t>
                      </w:r>
                    </w:p>
                    <w:p w14:paraId="7745C010" w14:textId="77777777" w:rsidR="00BE31F7" w:rsidRPr="00D64B2E" w:rsidRDefault="00BE31F7" w:rsidP="00B15474">
                      <w:pPr>
                        <w:numPr>
                          <w:ilvl w:val="0"/>
                          <w:numId w:val="44"/>
                        </w:numPr>
                        <w:overflowPunct/>
                        <w:autoSpaceDE/>
                        <w:autoSpaceDN/>
                        <w:adjustRightInd/>
                        <w:spacing w:after="0" w:line="259" w:lineRule="auto"/>
                        <w:ind w:left="1267"/>
                        <w:contextualSpacing/>
                        <w:textAlignment w:val="auto"/>
                        <w:rPr>
                          <w:color w:val="181818"/>
                          <w:lang w:eastAsia="en-US"/>
                        </w:rPr>
                      </w:pPr>
                      <w:r w:rsidRPr="00D64B2E">
                        <w:rPr>
                          <w:rFonts w:ascii="Times" w:eastAsia="Batang" w:hAnsi="Times"/>
                          <w:color w:val="181818"/>
                          <w:spacing w:val="-6"/>
                          <w:kern w:val="20"/>
                          <w:lang w:eastAsia="en-US"/>
                        </w:rPr>
                        <w:t>Study of potential enhancements for PUSCH/PUCCH/PRACH transmissions to achieve higher transmit power (when transmit power spectral density limits apply), if needed</w:t>
                      </w:r>
                    </w:p>
                    <w:p w14:paraId="49E617A1" w14:textId="77777777" w:rsidR="00BE31F7" w:rsidRPr="00D64B2E" w:rsidRDefault="00BE31F7" w:rsidP="00B15474">
                      <w:pPr>
                        <w:numPr>
                          <w:ilvl w:val="0"/>
                          <w:numId w:val="44"/>
                        </w:numPr>
                        <w:overflowPunct/>
                        <w:autoSpaceDE/>
                        <w:autoSpaceDN/>
                        <w:adjustRightInd/>
                        <w:spacing w:after="0" w:line="259" w:lineRule="auto"/>
                        <w:ind w:left="1267"/>
                        <w:contextualSpacing/>
                        <w:textAlignment w:val="auto"/>
                        <w:rPr>
                          <w:color w:val="181818"/>
                          <w:lang w:eastAsia="en-US"/>
                        </w:rPr>
                      </w:pPr>
                      <w:r w:rsidRPr="00D64B2E">
                        <w:rPr>
                          <w:rFonts w:ascii="Times" w:eastAsia="Batang" w:hAnsi="Times"/>
                          <w:color w:val="181818"/>
                          <w:spacing w:val="-6"/>
                          <w:kern w:val="20"/>
                          <w:lang w:eastAsia="en-US"/>
                        </w:rPr>
                        <w:t>Study whether uplink interlace needs to be supported for unlicensed operation in 60 GHz band.</w:t>
                      </w:r>
                    </w:p>
                    <w:p w14:paraId="166A3BDB" w14:textId="7E547687" w:rsidR="00BE31F7" w:rsidRPr="00D64B2E" w:rsidRDefault="00BE31F7" w:rsidP="00B15474">
                      <w:pPr>
                        <w:numPr>
                          <w:ilvl w:val="1"/>
                          <w:numId w:val="44"/>
                        </w:numPr>
                        <w:overflowPunct/>
                        <w:autoSpaceDE/>
                        <w:autoSpaceDN/>
                        <w:adjustRightInd/>
                        <w:spacing w:after="0" w:line="259" w:lineRule="auto"/>
                        <w:ind w:left="2606"/>
                        <w:contextualSpacing/>
                        <w:textAlignment w:val="auto"/>
                        <w:rPr>
                          <w:color w:val="181818"/>
                          <w:lang w:eastAsia="en-US"/>
                        </w:rPr>
                      </w:pPr>
                      <w:r w:rsidRPr="00D64B2E">
                        <w:rPr>
                          <w:rFonts w:ascii="Times" w:eastAsia="Batang" w:hAnsi="Times"/>
                          <w:color w:val="181818"/>
                          <w:spacing w:val="-6"/>
                          <w:kern w:val="20"/>
                          <w:lang w:eastAsia="en-US"/>
                        </w:rPr>
                        <w:t>If supported, study uplink PRB and/or sub-PRB based interlace design for PUCCH, PUSCH, and/or SRS.</w:t>
                      </w:r>
                    </w:p>
                  </w:txbxContent>
                </v:textbox>
                <w10:wrap type="topAndBottom" anchorx="margin"/>
              </v:shape>
            </w:pict>
          </mc:Fallback>
        </mc:AlternateContent>
      </w:r>
      <w:r w:rsidR="007C3789">
        <w:t>4</w:t>
      </w:r>
      <w:r w:rsidR="00680E5B">
        <w:t>.</w:t>
      </w:r>
      <w:r w:rsidR="00A7546B">
        <w:t>3</w:t>
      </w:r>
      <w:r w:rsidR="00680E5B">
        <w:tab/>
        <w:t>UL signals and channels</w:t>
      </w:r>
      <w:bookmarkEnd w:id="679"/>
      <w:bookmarkEnd w:id="680"/>
      <w:bookmarkEnd w:id="684"/>
    </w:p>
    <w:p w14:paraId="42F043EA" w14:textId="350BC2F5" w:rsidR="00D64B2E" w:rsidRDefault="00D64B2E" w:rsidP="00D64B2E">
      <w:pPr>
        <w:rPr>
          <w:lang w:val="en-GB"/>
        </w:rPr>
      </w:pPr>
    </w:p>
    <w:p w14:paraId="0DE744AF" w14:textId="1A933A2D" w:rsidR="00643525" w:rsidRPr="00156B29" w:rsidRDefault="001C3202" w:rsidP="00A743A7">
      <w:pPr>
        <w:pStyle w:val="BodyText"/>
      </w:pPr>
      <w:r>
        <w:t>To facilitate coexistence between nodes in unlicensed spectrum, many regulations put requirements on EIRP limits, or PSD requirement</w:t>
      </w:r>
      <w:r w:rsidR="00BD75BB">
        <w:t>s</w:t>
      </w:r>
      <w:r>
        <w:t xml:space="preserve">. </w:t>
      </w:r>
    </w:p>
    <w:p w14:paraId="20863D1F" w14:textId="31756994" w:rsidR="001C3202" w:rsidRPr="00A743A7" w:rsidRDefault="003E5519" w:rsidP="001C3202">
      <w:pPr>
        <w:pStyle w:val="BodyText"/>
        <w:rPr>
          <w:b/>
          <w:bCs/>
          <w:lang w:val="en-GB" w:eastAsia="ja-JP"/>
        </w:rPr>
      </w:pPr>
      <w:r w:rsidRPr="00A743A7">
        <w:rPr>
          <w:b/>
          <w:bCs/>
          <w:u w:val="single"/>
          <w:lang w:val="en-GB" w:eastAsia="ja-JP"/>
        </w:rPr>
        <w:t>PSD requirement</w:t>
      </w:r>
    </w:p>
    <w:p w14:paraId="19B0DDDA" w14:textId="74962303" w:rsidR="00A66754" w:rsidRDefault="00A66754">
      <w:pPr>
        <w:pStyle w:val="BodyText"/>
      </w:pPr>
      <w:r>
        <w:t xml:space="preserve">The implication of </w:t>
      </w:r>
      <w:r w:rsidR="00925C69">
        <w:t>a</w:t>
      </w:r>
      <w:r>
        <w:t xml:space="preserve"> PSD requirement </w:t>
      </w:r>
      <w:r w:rsidR="00AD4E63">
        <w:t xml:space="preserve">(e.g., according to CEPT) </w:t>
      </w:r>
      <w:r>
        <w:t>on the physical layer design is important to consider from a coverage perspective. But as we discuss here, interlaced transmission, while beneficial for the 5/6 GHz band, has very little utility for the 60 GHz band.</w:t>
      </w:r>
    </w:p>
    <w:p w14:paraId="313BBD54" w14:textId="4BABB73F" w:rsidR="00A66754" w:rsidRPr="002F6047" w:rsidRDefault="00A66754" w:rsidP="00F94015">
      <w:pPr>
        <w:pStyle w:val="BodyText"/>
      </w:pPr>
      <w:r w:rsidRPr="002F6047">
        <w:t xml:space="preserve">For NR-U operation in the 5/6 GHz </w:t>
      </w:r>
      <w:r w:rsidR="000570BF">
        <w:t xml:space="preserve">band, </w:t>
      </w:r>
      <w:r w:rsidRPr="002F6047">
        <w:t xml:space="preserve">interlaced transmission was adopted for PUCCH/PUSCH in order to maximize the transmit power under a PSD constraint. For example, in some regulatory regions the power </w:t>
      </w:r>
      <w:r w:rsidRPr="002F6047">
        <w:lastRenderedPageBreak/>
        <w:t xml:space="preserve">measured in a 1 MHz bandwidth must be 10 dBm or less. Since relatively small subcarrier spacings are used for 5/6 GHz band, e.g., 15/30 kHz, a single PRB only occupies 180/360 kHz, respectively. This means that if UL transmissions are interlaced, and no two PRBs fall within a 1 MHz measurement bandwidth, then the </w:t>
      </w:r>
      <w:r w:rsidR="00AD4E63">
        <w:t xml:space="preserve">transmit </w:t>
      </w:r>
      <w:r w:rsidRPr="002F6047">
        <w:t xml:space="preserve">power may be boosted by at most 10*log10(1000 kHz / SCS) </w:t>
      </w:r>
      <w:r w:rsidR="00925C69">
        <w:t xml:space="preserve">compared to a contiguous allocation </w:t>
      </w:r>
      <w:r w:rsidRPr="002F6047">
        <w:t>without violating the PSD regulations. This translates to 7.4/4.4 dB, for 15/30 kHz, respectively.</w:t>
      </w:r>
    </w:p>
    <w:p w14:paraId="5BDAFDC8" w14:textId="1119C315" w:rsidR="00A66754" w:rsidRPr="002F6047" w:rsidRDefault="00A66754" w:rsidP="00F94015">
      <w:pPr>
        <w:pStyle w:val="BodyText"/>
      </w:pPr>
      <w:r w:rsidRPr="002F6047">
        <w:t>In the 60 GHz band, the situation is different. First the EIRP and PSD depends on the use case (fixed outdoor equipment or not). For deployments other than fixed outdoor, even though the EIRP limit can be up to 40 dBm, it is not expected that a mobile UE will support such high EIRP. In fact, for the system level simulation</w:t>
      </w:r>
      <w:r w:rsidR="00925C69">
        <w:t xml:space="preserve"> evaluations</w:t>
      </w:r>
      <w:r w:rsidRPr="002F6047">
        <w:t>, it</w:t>
      </w:r>
      <w:r w:rsidR="00925C69">
        <w:t xml:space="preserve"> is</w:t>
      </w:r>
      <w:r w:rsidRPr="002F6047">
        <w:t xml:space="preserve"> assumed that the UE EIRP is at most 25 dBm. Hence, the expected UE EIRP is not much higher than the PSD limit (23 dBm/MHz for c1/c2 according to CEPT). Hence, the UE will typically be limited by maximum conducted power before it is limited by PSD.</w:t>
      </w:r>
    </w:p>
    <w:p w14:paraId="7B46B952" w14:textId="77777777" w:rsidR="00A66754" w:rsidRDefault="00A66754" w:rsidP="00F94015">
      <w:pPr>
        <w:pStyle w:val="BodyText"/>
      </w:pPr>
      <w:r w:rsidRPr="002F6047">
        <w:t xml:space="preserve">For fixed outdoor deployments where the devices are expected to achieve higher EIRP, then the difference between the PSD limit (e.g., 38 dBm/MHz for c3 according to CEPT) and the EIRP limit (55 dBm) is larger. Hence, depending on the signal bandwidth the UE Tx power could, in principle, be limited by PSD rather than conducted power. However, in the 60 GHz band the subcarrier spacing will be much larger than in the 5/6 GHz band. This means that a single PRB for all SCS ≥ 120 kHz occupies more than the 1 MHz PSD measurement resolution bandwidth. Because of this, no power boosting is possible making PRB-based interlacing not beneficial. </w:t>
      </w:r>
    </w:p>
    <w:p w14:paraId="63406C8F" w14:textId="77777777" w:rsidR="00A66754" w:rsidRPr="002F6047" w:rsidRDefault="00A66754" w:rsidP="00F94015">
      <w:pPr>
        <w:pStyle w:val="Observation"/>
        <w:rPr>
          <w:lang w:eastAsia="zh-CN"/>
        </w:rPr>
      </w:pPr>
      <w:bookmarkStart w:id="685" w:name="_Toc53774083"/>
      <w:bookmarkStart w:id="686" w:name="_Toc53774931"/>
      <w:bookmarkStart w:id="687" w:name="_Toc53775926"/>
      <w:bookmarkEnd w:id="685"/>
      <w:bookmarkEnd w:id="686"/>
      <w:r w:rsidRPr="002F6047">
        <w:rPr>
          <w:lang w:eastAsia="zh-CN"/>
        </w:rPr>
        <w:t>PRB-based interlacing is not beneficial for SCS ≥ 120 kHz</w:t>
      </w:r>
      <w:bookmarkEnd w:id="687"/>
    </w:p>
    <w:p w14:paraId="0A12AA6F" w14:textId="77777777" w:rsidR="00772111" w:rsidRDefault="00772111" w:rsidP="00A66754">
      <w:pPr>
        <w:rPr>
          <w:rFonts w:ascii="Arial" w:hAnsi="Arial"/>
          <w:lang w:eastAsia="zh-CN"/>
        </w:rPr>
      </w:pPr>
    </w:p>
    <w:p w14:paraId="399187D6" w14:textId="3DA1FA78" w:rsidR="00A66754" w:rsidRDefault="00A66754" w:rsidP="00F94015">
      <w:pPr>
        <w:pStyle w:val="BodyText"/>
      </w:pPr>
      <w:r w:rsidRPr="002F6047">
        <w:t>Both in Rel-16 and in the current Rel-17 study item, sub-PRB interlacing has been discussed as a mechanism for achieving power boosting. A "sub-PRB" unit is defined as some integer number N of subcarriers where N &lt; 12. If the SCS is 960 kHz or greater, a single subcarrier (smallest possible sub-PRB unit) would occupy the full 1 MHz PSD measurement resolution bandwidth, hence for SCS ≥ 960 kHz even sub-PRB interlacing is not beneficial.</w:t>
      </w:r>
    </w:p>
    <w:p w14:paraId="451D3578" w14:textId="1EDCABC3" w:rsidR="00A66754" w:rsidRPr="002F6047" w:rsidRDefault="00A66754" w:rsidP="00F94015">
      <w:pPr>
        <w:pStyle w:val="Observation"/>
        <w:rPr>
          <w:lang w:eastAsia="zh-CN"/>
        </w:rPr>
      </w:pPr>
      <w:bookmarkStart w:id="688" w:name="_Toc53774085"/>
      <w:bookmarkStart w:id="689" w:name="_Toc53774933"/>
      <w:bookmarkStart w:id="690" w:name="_Toc53775927"/>
      <w:bookmarkEnd w:id="688"/>
      <w:bookmarkEnd w:id="689"/>
      <w:r>
        <w:rPr>
          <w:lang w:eastAsia="zh-CN"/>
        </w:rPr>
        <w:t xml:space="preserve">Sub-PRB interlacing is not beneficial for </w:t>
      </w:r>
      <w:r w:rsidRPr="002F6047">
        <w:rPr>
          <w:lang w:eastAsia="zh-CN"/>
        </w:rPr>
        <w:t xml:space="preserve">SCS ≥ </w:t>
      </w:r>
      <w:r>
        <w:rPr>
          <w:lang w:eastAsia="zh-CN"/>
        </w:rPr>
        <w:t>960</w:t>
      </w:r>
      <w:r w:rsidRPr="002F6047">
        <w:rPr>
          <w:lang w:eastAsia="zh-CN"/>
        </w:rPr>
        <w:t xml:space="preserve"> kHz</w:t>
      </w:r>
      <w:bookmarkEnd w:id="690"/>
    </w:p>
    <w:p w14:paraId="716E5013" w14:textId="77777777" w:rsidR="00772111" w:rsidRDefault="00772111" w:rsidP="00A66754">
      <w:pPr>
        <w:rPr>
          <w:rFonts w:ascii="Arial" w:hAnsi="Arial"/>
          <w:lang w:eastAsia="zh-CN"/>
        </w:rPr>
      </w:pPr>
    </w:p>
    <w:p w14:paraId="1F14E713" w14:textId="2246F733" w:rsidR="00A66754" w:rsidRDefault="00A66754" w:rsidP="00F94015">
      <w:pPr>
        <w:pStyle w:val="BodyText"/>
      </w:pPr>
      <w:r w:rsidRPr="002F6047">
        <w:t xml:space="preserve">480 kHz SCS is also being discussed for the 60 GHz band.  For this SCS, the maximum power boosting benefit is </w:t>
      </w:r>
      <w:r w:rsidR="00040CF6">
        <w:t xml:space="preserve">only 3 dB </w:t>
      </w:r>
      <w:r w:rsidRPr="002F6047">
        <w:t xml:space="preserve">and it requires using a sub-PRB unit of N = 1 sub-carrier. For </w:t>
      </w:r>
      <w:r w:rsidR="001E1D61">
        <w:t>large frequency domain</w:t>
      </w:r>
      <w:r w:rsidRPr="002F6047">
        <w:t xml:space="preserve"> allocations, ultimately it will be necessary to schedule two </w:t>
      </w:r>
      <w:r w:rsidR="00493DE0">
        <w:t xml:space="preserve">or more sub-PRBs within the 1 MHz PSD measurement resolution bandwidth. In this case, </w:t>
      </w:r>
      <w:r w:rsidRPr="002F6047">
        <w:t xml:space="preserve">the power boosting benefit vanishes. </w:t>
      </w:r>
      <w:r>
        <w:t>In general, for any type of interlacing, the benefit is primarily for small</w:t>
      </w:r>
      <w:r w:rsidR="00AD4E63">
        <w:t>er</w:t>
      </w:r>
      <w:r>
        <w:t xml:space="preserve"> </w:t>
      </w:r>
      <w:r w:rsidR="00A77789">
        <w:t xml:space="preserve">frequency resource </w:t>
      </w:r>
      <w:r>
        <w:t xml:space="preserve">allocations. We point </w:t>
      </w:r>
      <w:r w:rsidRPr="002F6047">
        <w:t xml:space="preserve">out that for fixed outdoor deployments as discussed above, the channel conditions are expected to be good, thus making small </w:t>
      </w:r>
      <w:r w:rsidR="00A77789">
        <w:t xml:space="preserve">frequency resource </w:t>
      </w:r>
      <w:r w:rsidRPr="002F6047">
        <w:t>allocations unlikely.</w:t>
      </w:r>
    </w:p>
    <w:p w14:paraId="571CC8F5" w14:textId="1EB463D4" w:rsidR="00A66754" w:rsidRPr="00A66754" w:rsidRDefault="00A66754" w:rsidP="00F94015">
      <w:pPr>
        <w:pStyle w:val="Observation"/>
        <w:rPr>
          <w:lang w:eastAsia="zh-CN"/>
        </w:rPr>
      </w:pPr>
      <w:bookmarkStart w:id="691" w:name="_Toc53774087"/>
      <w:bookmarkStart w:id="692" w:name="_Toc53774935"/>
      <w:bookmarkStart w:id="693" w:name="_Toc53775928"/>
      <w:bookmarkEnd w:id="691"/>
      <w:bookmarkEnd w:id="692"/>
      <w:r>
        <w:rPr>
          <w:lang w:eastAsia="zh-CN"/>
        </w:rPr>
        <w:t xml:space="preserve">Both PRB and sub-PRB interlacing is not beneficial for large frequency </w:t>
      </w:r>
      <w:r w:rsidR="00FA0186">
        <w:rPr>
          <w:lang w:eastAsia="zh-CN"/>
        </w:rPr>
        <w:t xml:space="preserve">resource </w:t>
      </w:r>
      <w:r>
        <w:rPr>
          <w:lang w:eastAsia="zh-CN"/>
        </w:rPr>
        <w:t>allocations</w:t>
      </w:r>
      <w:bookmarkEnd w:id="693"/>
    </w:p>
    <w:p w14:paraId="52B37514" w14:textId="77777777" w:rsidR="00772111" w:rsidRDefault="00772111">
      <w:pPr>
        <w:rPr>
          <w:rFonts w:ascii="Arial" w:hAnsi="Arial"/>
          <w:lang w:eastAsia="zh-CN"/>
        </w:rPr>
      </w:pPr>
    </w:p>
    <w:p w14:paraId="53536E4C" w14:textId="7660AB63" w:rsidR="00A66754" w:rsidRDefault="001E1D61" w:rsidP="00F94015">
      <w:pPr>
        <w:pStyle w:val="BodyText"/>
      </w:pPr>
      <w:r>
        <w:t xml:space="preserve">More seriously, introduction of a sub-PRB design requires very large specification changes since the fundamental allocation unit of a full RB needs to be changed. For example, this could require a total redesign of reference signal structures. </w:t>
      </w:r>
      <w:r w:rsidR="00D76263">
        <w:t>F</w:t>
      </w:r>
      <w:r w:rsidR="00A66754" w:rsidRPr="002F6047">
        <w:t xml:space="preserve">or the 60 GHz band, </w:t>
      </w:r>
      <w:r w:rsidR="00D76263">
        <w:t xml:space="preserve">since </w:t>
      </w:r>
      <w:r w:rsidR="00A66754" w:rsidRPr="002F6047">
        <w:t>the scenarios under which any form of interlacing could potentially bring some benefit are very restricted compared to the 5/6 GHz band</w:t>
      </w:r>
      <w:r w:rsidR="00D76263">
        <w:t xml:space="preserve">. In our view, complexity vs. cost tradeoff rules out adoption of sub-PRB interlacing. </w:t>
      </w:r>
    </w:p>
    <w:p w14:paraId="7FF4BF20" w14:textId="77777777" w:rsidR="00772111" w:rsidRPr="00A66754" w:rsidRDefault="00772111" w:rsidP="00F94015"/>
    <w:p w14:paraId="7CB756AE" w14:textId="7D93889C" w:rsidR="001C3202" w:rsidRDefault="008916CD" w:rsidP="004F69A1">
      <w:pPr>
        <w:pStyle w:val="Proposal"/>
      </w:pPr>
      <w:bookmarkStart w:id="694" w:name="_Toc46230579"/>
      <w:bookmarkStart w:id="695" w:name="_Toc46235360"/>
      <w:bookmarkStart w:id="696" w:name="_Toc46237870"/>
      <w:bookmarkStart w:id="697" w:name="_Toc46237903"/>
      <w:bookmarkStart w:id="698" w:name="_Toc46238836"/>
      <w:bookmarkStart w:id="699" w:name="_Toc46238856"/>
      <w:bookmarkStart w:id="700" w:name="_Toc46238947"/>
      <w:bookmarkStart w:id="701" w:name="_Toc46238982"/>
      <w:bookmarkStart w:id="702" w:name="_Toc46239045"/>
      <w:bookmarkStart w:id="703" w:name="_Toc46239078"/>
      <w:bookmarkStart w:id="704" w:name="_Toc46239112"/>
      <w:bookmarkStart w:id="705" w:name="_Toc46239781"/>
      <w:bookmarkStart w:id="706" w:name="_Toc46239910"/>
      <w:bookmarkStart w:id="707" w:name="_Toc46240404"/>
      <w:bookmarkStart w:id="708" w:name="_Toc53776231"/>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r w:rsidRPr="008916CD">
        <w:t>Capture the following observation in TR 38.808:</w:t>
      </w:r>
      <w:r>
        <w:t xml:space="preserve"> </w:t>
      </w:r>
      <w:r w:rsidR="00B61FFF">
        <w:t xml:space="preserve">Neither </w:t>
      </w:r>
      <w:r>
        <w:t xml:space="preserve">PRB </w:t>
      </w:r>
      <w:proofErr w:type="gramStart"/>
      <w:r w:rsidR="00B61FFF">
        <w:t>or</w:t>
      </w:r>
      <w:proofErr w:type="gramEnd"/>
      <w:r w:rsidR="00B61FFF">
        <w:t xml:space="preserve"> </w:t>
      </w:r>
      <w:r>
        <w:t xml:space="preserve">sub-PRB interlacing is beneficial for the expected large frequency </w:t>
      </w:r>
      <w:r w:rsidR="00FA0186">
        <w:t xml:space="preserve">resource </w:t>
      </w:r>
      <w:r>
        <w:t>allocations</w:t>
      </w:r>
      <w:r w:rsidR="00DC68CD">
        <w:t xml:space="preserve"> </w:t>
      </w:r>
      <w:r w:rsidR="00161893">
        <w:t xml:space="preserve">applicable for NR operation in </w:t>
      </w:r>
      <w:r w:rsidR="00DC68CD">
        <w:t xml:space="preserve">52.6 </w:t>
      </w:r>
      <w:r w:rsidR="00161893">
        <w:t xml:space="preserve">– 71 </w:t>
      </w:r>
      <w:r w:rsidR="00DC68CD">
        <w:t>GHz spectrum</w:t>
      </w:r>
      <w:r>
        <w:t xml:space="preserve">. </w:t>
      </w:r>
      <w:r w:rsidR="00AA2720">
        <w:t>The s</w:t>
      </w:r>
      <w:r w:rsidR="001C3202">
        <w:t xml:space="preserve">upport of UL interlace allocation is not considered for </w:t>
      </w:r>
      <w:r w:rsidR="00FE1930">
        <w:t>NR operation in 52.6 – 71 GHz</w:t>
      </w:r>
      <w:r w:rsidR="001C3202">
        <w:t>.</w:t>
      </w:r>
      <w:bookmarkEnd w:id="708"/>
    </w:p>
    <w:p w14:paraId="70905866" w14:textId="77777777" w:rsidR="00A66754" w:rsidRPr="002F6047" w:rsidRDefault="00A66754" w:rsidP="00FC1738">
      <w:pPr>
        <w:rPr>
          <w:rFonts w:ascii="Arial" w:hAnsi="Arial"/>
          <w:lang w:eastAsia="zh-CN"/>
        </w:rPr>
      </w:pPr>
    </w:p>
    <w:p w14:paraId="6560E48F" w14:textId="4BE8D689" w:rsidR="006A1B84" w:rsidRPr="00A743A7" w:rsidRDefault="00B2744F" w:rsidP="00B2744F">
      <w:pPr>
        <w:pStyle w:val="BodyText"/>
        <w:rPr>
          <w:b/>
          <w:bCs/>
          <w:u w:val="single"/>
          <w:lang w:val="en-GB" w:eastAsia="ja-JP"/>
        </w:rPr>
      </w:pPr>
      <w:r w:rsidRPr="00A743A7">
        <w:rPr>
          <w:b/>
          <w:bCs/>
          <w:u w:val="single"/>
          <w:lang w:val="en-GB" w:eastAsia="ja-JP"/>
        </w:rPr>
        <w:t xml:space="preserve">Max </w:t>
      </w:r>
      <w:r w:rsidR="006A1B84" w:rsidRPr="00A743A7">
        <w:rPr>
          <w:b/>
          <w:bCs/>
          <w:u w:val="single"/>
          <w:lang w:val="en-GB" w:eastAsia="ja-JP"/>
        </w:rPr>
        <w:t>P</w:t>
      </w:r>
      <w:r w:rsidRPr="00A743A7">
        <w:rPr>
          <w:b/>
          <w:bCs/>
          <w:u w:val="single"/>
          <w:lang w:val="en-GB" w:eastAsia="ja-JP"/>
        </w:rPr>
        <w:t xml:space="preserve">eak </w:t>
      </w:r>
      <w:r w:rsidR="006A1B84" w:rsidRPr="00A743A7">
        <w:rPr>
          <w:b/>
          <w:bCs/>
          <w:u w:val="single"/>
          <w:lang w:val="en-GB" w:eastAsia="ja-JP"/>
        </w:rPr>
        <w:t>C</w:t>
      </w:r>
      <w:r w:rsidRPr="00A743A7">
        <w:rPr>
          <w:b/>
          <w:bCs/>
          <w:u w:val="single"/>
          <w:lang w:val="en-GB" w:eastAsia="ja-JP"/>
        </w:rPr>
        <w:t>onducted Power</w:t>
      </w:r>
    </w:p>
    <w:p w14:paraId="54F7B40C" w14:textId="2D06D0AB" w:rsidR="00724CC7" w:rsidRDefault="00724CC7" w:rsidP="00724CC7">
      <w:pPr>
        <w:pStyle w:val="BodyText"/>
      </w:pPr>
      <w:r>
        <w:t xml:space="preserve">According to the </w:t>
      </w:r>
      <w:r w:rsidR="00C06B15">
        <w:t xml:space="preserve">FCC </w:t>
      </w:r>
      <w:r>
        <w:t>regulations, the max UE conduct</w:t>
      </w:r>
      <w:r w:rsidR="002D7328">
        <w:t>ed</w:t>
      </w:r>
      <w:r>
        <w:t xml:space="preserve"> power depends</w:t>
      </w:r>
      <w:r w:rsidR="009D3014">
        <w:t xml:space="preserve"> on</w:t>
      </w:r>
      <w:r>
        <w:t xml:space="preserve"> transmission bandwidth. For transmission bandwidth less than 100MHz, the max peak conducted power scales down </w:t>
      </w:r>
      <w:r w:rsidR="009D3014">
        <w:t>proportional</w:t>
      </w:r>
      <w:r>
        <w:t xml:space="preserve"> to the occupied bandwidth</w:t>
      </w:r>
      <w:r w:rsidR="00B71FBB">
        <w:t xml:space="preserve"> according to </w:t>
      </w:r>
      <w:r w:rsidR="00B71FBB" w:rsidRPr="00C52F96">
        <w:rPr>
          <w:rFonts w:cs="Arial"/>
        </w:rPr>
        <w:t>{500mW × emission-BW / 100MHz}</w:t>
      </w:r>
      <w:r>
        <w:t xml:space="preserve">. </w:t>
      </w:r>
      <w:r w:rsidR="00D2180D">
        <w:t xml:space="preserve">For signals/channels that can be </w:t>
      </w:r>
      <w:r w:rsidR="00D2180D">
        <w:lastRenderedPageBreak/>
        <w:t>configured/scheduled with bandwidth greater than 100 MHz, the maximum conducted power (27 dBm) can be reached</w:t>
      </w:r>
      <w:r w:rsidR="00D02DC5">
        <w:t xml:space="preserve">. </w:t>
      </w:r>
      <w:r>
        <w:t xml:space="preserve">Example channels that can </w:t>
      </w:r>
      <w:r w:rsidR="00C04A0E">
        <w:t xml:space="preserve">easily </w:t>
      </w:r>
      <w:r>
        <w:t xml:space="preserve">occupy more than 100MHz include PUSCH, SRS and PRACH. </w:t>
      </w:r>
    </w:p>
    <w:p w14:paraId="1797F4CF" w14:textId="1CA81ADC" w:rsidR="00AD0F48" w:rsidRDefault="00D02DC5" w:rsidP="00724CC7">
      <w:pPr>
        <w:pStyle w:val="BodyText"/>
      </w:pPr>
      <w:r>
        <w:t>For l</w:t>
      </w:r>
      <w:r w:rsidR="00724CC7">
        <w:t>ow power mobile UE</w:t>
      </w:r>
      <w:r>
        <w:t>s</w:t>
      </w:r>
      <w:r w:rsidR="00724CC7">
        <w:t>, e.g.</w:t>
      </w:r>
      <w:r>
        <w:t>,</w:t>
      </w:r>
      <w:r w:rsidR="00724CC7">
        <w:t xml:space="preserve"> EIRP of 25 dBm as assumed in the system level simulations, the </w:t>
      </w:r>
      <w:r w:rsidR="002D7328">
        <w:t>FCC</w:t>
      </w:r>
      <w:r w:rsidR="00724CC7">
        <w:t xml:space="preserve"> </w:t>
      </w:r>
      <w:r w:rsidR="002D7328">
        <w:t>conducted power</w:t>
      </w:r>
      <w:r w:rsidR="00724CC7">
        <w:t xml:space="preserve"> requirement will not be a limiting factor. </w:t>
      </w:r>
      <w:r>
        <w:t xml:space="preserve"> </w:t>
      </w:r>
      <w:r w:rsidR="00724CC7">
        <w:t xml:space="preserve">If such UE has a 2x2 antenna panel with total antenna gain of at least 12 dB, then only 13 dBm conducted power is needed to reach the </w:t>
      </w:r>
      <w:r w:rsidR="00C30373">
        <w:t>devices own EIRP</w:t>
      </w:r>
      <w:r w:rsidR="00724CC7">
        <w:t xml:space="preserve"> limit. </w:t>
      </w:r>
      <w:r w:rsidR="00C30373">
        <w:t>This is achieved</w:t>
      </w:r>
      <w:r w:rsidR="00724CC7">
        <w:t xml:space="preserve"> for any allocation </w:t>
      </w:r>
      <w:r w:rsidR="000152BA">
        <w:t xml:space="preserve">with a BW </w:t>
      </w:r>
      <w:r w:rsidR="00724CC7">
        <w:t>larger than 3.98</w:t>
      </w:r>
      <w:r w:rsidR="00893DC9">
        <w:t xml:space="preserve"> </w:t>
      </w:r>
      <w:r w:rsidR="00724CC7">
        <w:t xml:space="preserve">MHz, </w:t>
      </w:r>
      <w:r w:rsidR="009123F5">
        <w:t xml:space="preserve">derived according to </w:t>
      </w:r>
      <w:r w:rsidR="009123F5" w:rsidRPr="0035235B">
        <w:rPr>
          <w:rFonts w:cs="Arial"/>
        </w:rPr>
        <w:t xml:space="preserve">10*log10(500mW × </w:t>
      </w:r>
      <w:r w:rsidR="000152BA">
        <w:rPr>
          <w:rFonts w:cs="Arial"/>
        </w:rPr>
        <w:t>BW</w:t>
      </w:r>
      <w:r w:rsidR="009123F5" w:rsidRPr="0035235B">
        <w:rPr>
          <w:rFonts w:cs="Arial"/>
        </w:rPr>
        <w:t xml:space="preserve"> MHz</w:t>
      </w:r>
      <w:r w:rsidR="00C30373">
        <w:rPr>
          <w:rFonts w:cs="Arial"/>
        </w:rPr>
        <w:t xml:space="preserve"> </w:t>
      </w:r>
      <w:r w:rsidR="009123F5" w:rsidRPr="0035235B">
        <w:rPr>
          <w:rFonts w:cs="Arial"/>
        </w:rPr>
        <w:t>/ 100 MHz)</w:t>
      </w:r>
      <w:r w:rsidR="000152BA">
        <w:rPr>
          <w:rFonts w:cs="Arial"/>
        </w:rPr>
        <w:t xml:space="preserve"> = 13</w:t>
      </w:r>
      <w:r w:rsidR="009123F5">
        <w:rPr>
          <w:rFonts w:cs="Arial"/>
          <w:sz w:val="18"/>
          <w:szCs w:val="18"/>
        </w:rPr>
        <w:t xml:space="preserve">. </w:t>
      </w:r>
      <w:r w:rsidR="00724CC7">
        <w:t xml:space="preserve">For 480 </w:t>
      </w:r>
      <w:r w:rsidR="00893DC9">
        <w:t>kHz</w:t>
      </w:r>
      <w:r w:rsidR="00724CC7">
        <w:t xml:space="preserve"> and 96</w:t>
      </w:r>
      <w:r w:rsidR="00BA584F">
        <w:t>0</w:t>
      </w:r>
      <w:r w:rsidR="00724CC7">
        <w:t xml:space="preserve"> </w:t>
      </w:r>
      <w:r w:rsidR="00893DC9">
        <w:t>kHz</w:t>
      </w:r>
      <w:r w:rsidR="00724CC7">
        <w:t xml:space="preserve">, a single PRB is already larger than 3.98 </w:t>
      </w:r>
      <w:proofErr w:type="spellStart"/>
      <w:r w:rsidR="00724CC7">
        <w:t>MHz.</w:t>
      </w:r>
      <w:proofErr w:type="spellEnd"/>
      <w:r w:rsidR="00724CC7">
        <w:t xml:space="preserve"> </w:t>
      </w:r>
      <w:r w:rsidR="00BA584F">
        <w:t>E</w:t>
      </w:r>
      <w:r w:rsidR="00724CC7">
        <w:t xml:space="preserve">ven for 240 </w:t>
      </w:r>
      <w:r w:rsidR="00893DC9">
        <w:t>kHz</w:t>
      </w:r>
      <w:r w:rsidR="00724CC7">
        <w:t xml:space="preserve">, </w:t>
      </w:r>
      <w:r w:rsidR="00C30373">
        <w:t xml:space="preserve">transmission at the </w:t>
      </w:r>
      <w:r>
        <w:t xml:space="preserve">devices own </w:t>
      </w:r>
      <w:r w:rsidR="00C30373">
        <w:t>EIRP limit can be achieved</w:t>
      </w:r>
      <w:r w:rsidR="00724CC7">
        <w:t xml:space="preserve"> by allocating at least two resource blocks for the transmission</w:t>
      </w:r>
      <w:r w:rsidR="00C244C5">
        <w:t>, which is already possible for any UL channel</w:t>
      </w:r>
      <w:r w:rsidR="00724CC7">
        <w:t>. The only exception would be PUCCH format 0</w:t>
      </w:r>
      <w:r w:rsidR="00BD5355">
        <w:t>,</w:t>
      </w:r>
      <w:r w:rsidR="00724CC7">
        <w:t>1</w:t>
      </w:r>
      <w:r w:rsidR="00BD5355">
        <w:t xml:space="preserve"> and 4</w:t>
      </w:r>
      <w:r w:rsidR="00724CC7">
        <w:t xml:space="preserve"> that occupy only </w:t>
      </w:r>
      <w:r w:rsidR="002847DC">
        <w:t xml:space="preserve">a single </w:t>
      </w:r>
      <w:r w:rsidR="00724CC7">
        <w:t>resource block.</w:t>
      </w:r>
    </w:p>
    <w:p w14:paraId="2939EC75" w14:textId="33F03C68" w:rsidR="001E28A4" w:rsidRPr="00C204EF" w:rsidRDefault="001E28A4" w:rsidP="001E28A4">
      <w:pPr>
        <w:pStyle w:val="Caption"/>
        <w:jc w:val="center"/>
        <w:rPr>
          <w:rFonts w:ascii="Arial" w:hAnsi="Arial" w:cs="Arial"/>
        </w:rPr>
      </w:pPr>
      <w:r w:rsidRPr="00C204EF">
        <w:rPr>
          <w:rFonts w:ascii="Arial" w:hAnsi="Arial" w:cs="Arial"/>
        </w:rPr>
        <w:t xml:space="preserve">Table </w:t>
      </w:r>
      <w:r w:rsidRPr="00C204EF">
        <w:rPr>
          <w:rFonts w:ascii="Arial" w:hAnsi="Arial" w:cs="Arial"/>
        </w:rPr>
        <w:fldChar w:fldCharType="begin"/>
      </w:r>
      <w:r w:rsidRPr="00C204EF">
        <w:rPr>
          <w:rFonts w:ascii="Arial" w:hAnsi="Arial" w:cs="Arial"/>
        </w:rPr>
        <w:instrText xml:space="preserve"> SEQ Table \* ARABIC </w:instrText>
      </w:r>
      <w:r w:rsidRPr="00C204EF">
        <w:rPr>
          <w:rFonts w:ascii="Arial" w:hAnsi="Arial" w:cs="Arial"/>
        </w:rPr>
        <w:fldChar w:fldCharType="separate"/>
      </w:r>
      <w:r w:rsidR="00BE31F7">
        <w:rPr>
          <w:rFonts w:ascii="Arial" w:hAnsi="Arial" w:cs="Arial"/>
          <w:noProof/>
        </w:rPr>
        <w:t>4</w:t>
      </w:r>
      <w:r w:rsidRPr="00C204EF">
        <w:rPr>
          <w:rFonts w:ascii="Arial" w:hAnsi="Arial" w:cs="Arial"/>
        </w:rPr>
        <w:fldChar w:fldCharType="end"/>
      </w:r>
      <w:r w:rsidRPr="00C204EF">
        <w:rPr>
          <w:rFonts w:ascii="Arial" w:hAnsi="Arial" w:cs="Arial"/>
        </w:rPr>
        <w:t xml:space="preserve">: Number of RBs needed to transmit </w:t>
      </w:r>
      <w:r w:rsidR="00C30373">
        <w:rPr>
          <w:rFonts w:ascii="Arial" w:hAnsi="Arial" w:cs="Arial"/>
        </w:rPr>
        <w:t>at</w:t>
      </w:r>
      <w:r w:rsidR="00C30373" w:rsidRPr="00C204EF">
        <w:rPr>
          <w:rFonts w:ascii="Arial" w:hAnsi="Arial" w:cs="Arial"/>
        </w:rPr>
        <w:t xml:space="preserve"> </w:t>
      </w:r>
      <w:r w:rsidRPr="00C204EF">
        <w:rPr>
          <w:rFonts w:ascii="Arial" w:hAnsi="Arial" w:cs="Arial"/>
        </w:rPr>
        <w:t>EIRP</w:t>
      </w:r>
      <w:r w:rsidR="00C30373">
        <w:rPr>
          <w:rFonts w:ascii="Arial" w:hAnsi="Arial" w:cs="Arial"/>
        </w:rPr>
        <w:t xml:space="preserve"> limit</w:t>
      </w:r>
      <w:r w:rsidRPr="00C204EF">
        <w:rPr>
          <w:rFonts w:ascii="Arial" w:hAnsi="Arial" w:cs="Arial"/>
        </w:rPr>
        <w:t xml:space="preserve"> for low and </w:t>
      </w:r>
      <w:proofErr w:type="gramStart"/>
      <w:r w:rsidRPr="00C204EF">
        <w:rPr>
          <w:rFonts w:ascii="Arial" w:hAnsi="Arial" w:cs="Arial"/>
        </w:rPr>
        <w:t>high power</w:t>
      </w:r>
      <w:proofErr w:type="gramEnd"/>
      <w:r w:rsidRPr="00C204EF">
        <w:rPr>
          <w:rFonts w:ascii="Arial" w:hAnsi="Arial" w:cs="Arial"/>
        </w:rPr>
        <w:t xml:space="preserve"> equipment</w:t>
      </w:r>
      <w:r w:rsidR="00C30373">
        <w:rPr>
          <w:rFonts w:ascii="Arial" w:hAnsi="Arial" w:cs="Arial"/>
        </w:rPr>
        <w:t xml:space="preserve"> (assuming 12 dB antenna gain)</w:t>
      </w:r>
    </w:p>
    <w:tbl>
      <w:tblPr>
        <w:tblW w:w="7210" w:type="dxa"/>
        <w:jc w:val="center"/>
        <w:tblCellMar>
          <w:left w:w="0" w:type="dxa"/>
          <w:right w:w="0" w:type="dxa"/>
        </w:tblCellMar>
        <w:tblLook w:val="04A0" w:firstRow="1" w:lastRow="0" w:firstColumn="1" w:lastColumn="0" w:noHBand="0" w:noVBand="1"/>
      </w:tblPr>
      <w:tblGrid>
        <w:gridCol w:w="1567"/>
        <w:gridCol w:w="2971"/>
        <w:gridCol w:w="2672"/>
      </w:tblGrid>
      <w:tr w:rsidR="00155237" w:rsidRPr="00C204EF" w14:paraId="35A63CA9" w14:textId="77777777" w:rsidTr="00B10322">
        <w:trPr>
          <w:trHeight w:val="313"/>
          <w:jc w:val="center"/>
        </w:trPr>
        <w:tc>
          <w:tcPr>
            <w:tcW w:w="15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601CCE" w14:textId="77777777" w:rsidR="00155237" w:rsidRPr="006B2D13" w:rsidRDefault="00155237" w:rsidP="00B10322">
            <w:pPr>
              <w:spacing w:before="40" w:after="40"/>
              <w:jc w:val="center"/>
              <w:rPr>
                <w:rFonts w:ascii="Arial" w:hAnsi="Arial" w:cs="Arial"/>
                <w:b/>
                <w:bCs/>
                <w:sz w:val="18"/>
                <w:szCs w:val="18"/>
              </w:rPr>
            </w:pPr>
            <w:r w:rsidRPr="006B2D13">
              <w:rPr>
                <w:rFonts w:ascii="Arial" w:hAnsi="Arial" w:cs="Arial"/>
                <w:b/>
                <w:bCs/>
                <w:sz w:val="18"/>
                <w:szCs w:val="18"/>
              </w:rPr>
              <w:t>SCS</w:t>
            </w:r>
          </w:p>
        </w:tc>
        <w:tc>
          <w:tcPr>
            <w:tcW w:w="29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63E038B" w14:textId="69D7FEA1" w:rsidR="00155237" w:rsidRPr="006B2D13" w:rsidRDefault="00155237" w:rsidP="00B10322">
            <w:pPr>
              <w:spacing w:before="40" w:after="40"/>
              <w:rPr>
                <w:rFonts w:ascii="Arial" w:hAnsi="Arial" w:cs="Arial"/>
                <w:b/>
                <w:bCs/>
                <w:sz w:val="18"/>
                <w:szCs w:val="18"/>
              </w:rPr>
            </w:pPr>
            <w:r w:rsidRPr="006B2D13">
              <w:rPr>
                <w:rFonts w:ascii="Arial" w:hAnsi="Arial" w:cs="Arial"/>
                <w:b/>
                <w:bCs/>
                <w:sz w:val="18"/>
                <w:szCs w:val="18"/>
              </w:rPr>
              <w:t xml:space="preserve">Number of RBs needed to transmit </w:t>
            </w:r>
            <w:r w:rsidR="00C30373">
              <w:rPr>
                <w:rFonts w:ascii="Arial" w:hAnsi="Arial" w:cs="Arial"/>
                <w:b/>
                <w:bCs/>
                <w:sz w:val="18"/>
                <w:szCs w:val="18"/>
              </w:rPr>
              <w:t>at</w:t>
            </w:r>
            <w:r w:rsidRPr="006B2D13">
              <w:rPr>
                <w:rFonts w:ascii="Arial" w:hAnsi="Arial" w:cs="Arial"/>
                <w:b/>
                <w:bCs/>
                <w:sz w:val="18"/>
                <w:szCs w:val="18"/>
              </w:rPr>
              <w:t xml:space="preserve"> EIRP </w:t>
            </w:r>
            <w:r w:rsidR="00C30373">
              <w:rPr>
                <w:rFonts w:ascii="Arial" w:hAnsi="Arial" w:cs="Arial"/>
                <w:b/>
                <w:bCs/>
                <w:sz w:val="18"/>
                <w:szCs w:val="18"/>
              </w:rPr>
              <w:t>limit for low power equipment</w:t>
            </w:r>
          </w:p>
        </w:tc>
        <w:tc>
          <w:tcPr>
            <w:tcW w:w="2672" w:type="dxa"/>
            <w:tcBorders>
              <w:top w:val="single" w:sz="8" w:space="0" w:color="auto"/>
              <w:left w:val="nil"/>
              <w:bottom w:val="single" w:sz="8" w:space="0" w:color="auto"/>
              <w:right w:val="single" w:sz="8" w:space="0" w:color="auto"/>
            </w:tcBorders>
            <w:tcMar>
              <w:left w:w="72" w:type="dxa"/>
            </w:tcMar>
            <w:vAlign w:val="center"/>
            <w:hideMark/>
          </w:tcPr>
          <w:p w14:paraId="241ADD3D" w14:textId="1E504546" w:rsidR="00155237" w:rsidRPr="006B2D13" w:rsidRDefault="00155237" w:rsidP="00B10322">
            <w:pPr>
              <w:spacing w:before="40" w:after="40"/>
              <w:rPr>
                <w:rFonts w:ascii="Arial" w:hAnsi="Arial" w:cs="Arial"/>
                <w:b/>
                <w:bCs/>
                <w:sz w:val="18"/>
                <w:szCs w:val="18"/>
              </w:rPr>
            </w:pPr>
            <w:r w:rsidRPr="006B2D13">
              <w:rPr>
                <w:rFonts w:ascii="Arial" w:hAnsi="Arial" w:cs="Arial"/>
                <w:b/>
                <w:bCs/>
                <w:sz w:val="18"/>
                <w:szCs w:val="18"/>
              </w:rPr>
              <w:t xml:space="preserve">Number of RBs needed to transmit </w:t>
            </w:r>
            <w:r w:rsidR="00C30373">
              <w:rPr>
                <w:rFonts w:ascii="Arial" w:hAnsi="Arial" w:cs="Arial"/>
                <w:b/>
                <w:bCs/>
                <w:sz w:val="18"/>
                <w:szCs w:val="18"/>
              </w:rPr>
              <w:t>at</w:t>
            </w:r>
            <w:r w:rsidR="00C30373" w:rsidRPr="006B2D13">
              <w:rPr>
                <w:rFonts w:ascii="Arial" w:hAnsi="Arial" w:cs="Arial"/>
                <w:b/>
                <w:bCs/>
                <w:sz w:val="18"/>
                <w:szCs w:val="18"/>
              </w:rPr>
              <w:t xml:space="preserve"> </w:t>
            </w:r>
            <w:r w:rsidRPr="006B2D13">
              <w:rPr>
                <w:rFonts w:ascii="Arial" w:hAnsi="Arial" w:cs="Arial"/>
                <w:b/>
                <w:bCs/>
                <w:sz w:val="18"/>
                <w:szCs w:val="18"/>
              </w:rPr>
              <w:t xml:space="preserve">EIRP </w:t>
            </w:r>
            <w:r w:rsidR="00C30373">
              <w:rPr>
                <w:rFonts w:ascii="Arial" w:hAnsi="Arial" w:cs="Arial"/>
                <w:b/>
                <w:bCs/>
                <w:sz w:val="18"/>
                <w:szCs w:val="18"/>
              </w:rPr>
              <w:t xml:space="preserve">limit </w:t>
            </w:r>
            <w:r w:rsidRPr="006B2D13">
              <w:rPr>
                <w:rFonts w:ascii="Arial" w:hAnsi="Arial" w:cs="Arial"/>
                <w:b/>
                <w:bCs/>
                <w:sz w:val="18"/>
                <w:szCs w:val="18"/>
              </w:rPr>
              <w:t>for high power equipment</w:t>
            </w:r>
          </w:p>
        </w:tc>
      </w:tr>
      <w:tr w:rsidR="00155237" w:rsidRPr="00C204EF" w14:paraId="20F12CC7" w14:textId="77777777" w:rsidTr="00B10322">
        <w:trPr>
          <w:trHeight w:val="313"/>
          <w:jc w:val="center"/>
        </w:trPr>
        <w:tc>
          <w:tcPr>
            <w:tcW w:w="156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4571EE85"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 xml:space="preserve">240 </w:t>
            </w:r>
            <w:r>
              <w:rPr>
                <w:rFonts w:ascii="Arial" w:hAnsi="Arial" w:cs="Arial"/>
                <w:sz w:val="18"/>
                <w:szCs w:val="18"/>
              </w:rPr>
              <w:t>kHz</w:t>
            </w:r>
          </w:p>
        </w:tc>
        <w:tc>
          <w:tcPr>
            <w:tcW w:w="2971"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ED836F6"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2</w:t>
            </w:r>
          </w:p>
        </w:tc>
        <w:tc>
          <w:tcPr>
            <w:tcW w:w="2672" w:type="dxa"/>
            <w:tcBorders>
              <w:top w:val="nil"/>
              <w:left w:val="nil"/>
              <w:bottom w:val="single" w:sz="8" w:space="0" w:color="auto"/>
              <w:right w:val="single" w:sz="8" w:space="0" w:color="auto"/>
            </w:tcBorders>
            <w:shd w:val="clear" w:color="auto" w:fill="FFFFFF" w:themeFill="background1"/>
            <w:vAlign w:val="center"/>
            <w:hideMark/>
          </w:tcPr>
          <w:p w14:paraId="07C1629F"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35</w:t>
            </w:r>
          </w:p>
        </w:tc>
      </w:tr>
      <w:tr w:rsidR="00155237" w:rsidRPr="00C204EF" w14:paraId="04718B54" w14:textId="77777777" w:rsidTr="00B10322">
        <w:trPr>
          <w:trHeight w:val="321"/>
          <w:jc w:val="center"/>
        </w:trPr>
        <w:tc>
          <w:tcPr>
            <w:tcW w:w="156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5F4F9EEA"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 xml:space="preserve">480 </w:t>
            </w:r>
            <w:r>
              <w:rPr>
                <w:rFonts w:ascii="Arial" w:hAnsi="Arial" w:cs="Arial"/>
                <w:sz w:val="18"/>
                <w:szCs w:val="18"/>
              </w:rPr>
              <w:t>kHz</w:t>
            </w:r>
          </w:p>
        </w:tc>
        <w:tc>
          <w:tcPr>
            <w:tcW w:w="2971"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0C9061EF"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1</w:t>
            </w:r>
          </w:p>
        </w:tc>
        <w:tc>
          <w:tcPr>
            <w:tcW w:w="2672" w:type="dxa"/>
            <w:tcBorders>
              <w:top w:val="nil"/>
              <w:left w:val="nil"/>
              <w:bottom w:val="single" w:sz="8" w:space="0" w:color="auto"/>
              <w:right w:val="single" w:sz="8" w:space="0" w:color="auto"/>
            </w:tcBorders>
            <w:shd w:val="clear" w:color="auto" w:fill="FFFFFF" w:themeFill="background1"/>
            <w:vAlign w:val="center"/>
            <w:hideMark/>
          </w:tcPr>
          <w:p w14:paraId="1A09C905"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18</w:t>
            </w:r>
          </w:p>
        </w:tc>
      </w:tr>
      <w:tr w:rsidR="00155237" w:rsidRPr="00C204EF" w14:paraId="32D360A8" w14:textId="77777777" w:rsidTr="00B10322">
        <w:trPr>
          <w:trHeight w:val="313"/>
          <w:jc w:val="center"/>
        </w:trPr>
        <w:tc>
          <w:tcPr>
            <w:tcW w:w="1567" w:type="dxa"/>
            <w:tcBorders>
              <w:top w:val="nil"/>
              <w:left w:val="single" w:sz="8" w:space="0" w:color="auto"/>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12FAC612"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 xml:space="preserve">960 </w:t>
            </w:r>
            <w:r>
              <w:rPr>
                <w:rFonts w:ascii="Arial" w:hAnsi="Arial" w:cs="Arial"/>
                <w:sz w:val="18"/>
                <w:szCs w:val="18"/>
              </w:rPr>
              <w:t>kHz</w:t>
            </w:r>
          </w:p>
        </w:tc>
        <w:tc>
          <w:tcPr>
            <w:tcW w:w="2971" w:type="dxa"/>
            <w:tcBorders>
              <w:top w:val="nil"/>
              <w:left w:val="nil"/>
              <w:bottom w:val="single" w:sz="8" w:space="0" w:color="auto"/>
              <w:right w:val="single" w:sz="8" w:space="0" w:color="auto"/>
            </w:tcBorders>
            <w:shd w:val="clear" w:color="auto" w:fill="FFFFFF" w:themeFill="background1"/>
            <w:tcMar>
              <w:top w:w="0" w:type="dxa"/>
              <w:left w:w="108" w:type="dxa"/>
              <w:bottom w:w="0" w:type="dxa"/>
              <w:right w:w="108" w:type="dxa"/>
            </w:tcMar>
            <w:vAlign w:val="center"/>
            <w:hideMark/>
          </w:tcPr>
          <w:p w14:paraId="398D6EFD" w14:textId="77777777" w:rsidR="00155237" w:rsidRPr="00B9506E" w:rsidRDefault="00155237" w:rsidP="00B10322">
            <w:pPr>
              <w:spacing w:before="40" w:after="40"/>
              <w:jc w:val="center"/>
              <w:rPr>
                <w:rFonts w:ascii="Arial" w:hAnsi="Arial" w:cs="Arial"/>
                <w:sz w:val="18"/>
                <w:szCs w:val="18"/>
              </w:rPr>
            </w:pPr>
            <w:r w:rsidRPr="00B9506E">
              <w:rPr>
                <w:rFonts w:ascii="Arial" w:hAnsi="Arial" w:cs="Arial"/>
                <w:sz w:val="18"/>
                <w:szCs w:val="18"/>
              </w:rPr>
              <w:t>1</w:t>
            </w:r>
          </w:p>
        </w:tc>
        <w:tc>
          <w:tcPr>
            <w:tcW w:w="2672" w:type="dxa"/>
            <w:tcBorders>
              <w:top w:val="nil"/>
              <w:left w:val="nil"/>
              <w:bottom w:val="single" w:sz="8" w:space="0" w:color="auto"/>
              <w:right w:val="single" w:sz="8" w:space="0" w:color="auto"/>
            </w:tcBorders>
            <w:shd w:val="clear" w:color="auto" w:fill="FFFFFF" w:themeFill="background1"/>
            <w:vAlign w:val="center"/>
            <w:hideMark/>
          </w:tcPr>
          <w:p w14:paraId="01E7C092" w14:textId="77777777" w:rsidR="00155237" w:rsidRPr="00B9506E" w:rsidRDefault="00155237" w:rsidP="00B10322">
            <w:pPr>
              <w:keepNext/>
              <w:spacing w:before="40" w:after="40"/>
              <w:jc w:val="center"/>
              <w:rPr>
                <w:rFonts w:ascii="Arial" w:hAnsi="Arial" w:cs="Arial"/>
                <w:sz w:val="18"/>
                <w:szCs w:val="18"/>
              </w:rPr>
            </w:pPr>
            <w:r w:rsidRPr="00B9506E">
              <w:rPr>
                <w:rFonts w:ascii="Arial" w:hAnsi="Arial" w:cs="Arial"/>
                <w:sz w:val="18"/>
                <w:szCs w:val="18"/>
              </w:rPr>
              <w:t>9</w:t>
            </w:r>
          </w:p>
        </w:tc>
      </w:tr>
    </w:tbl>
    <w:p w14:paraId="2E3275CE" w14:textId="77777777" w:rsidR="00AD0F48" w:rsidDel="001E28A4" w:rsidRDefault="00AD0F48" w:rsidP="00724CC7">
      <w:pPr>
        <w:pStyle w:val="BodyText"/>
      </w:pPr>
    </w:p>
    <w:p w14:paraId="7500FDCE" w14:textId="11E14237" w:rsidR="0068732C" w:rsidRDefault="00595047" w:rsidP="00724CC7">
      <w:pPr>
        <w:pStyle w:val="BodyText"/>
      </w:pPr>
      <w:r>
        <w:t>F</w:t>
      </w:r>
      <w:r w:rsidR="008B7C7B">
        <w:t>or high</w:t>
      </w:r>
      <w:r w:rsidR="002D7328">
        <w:t>er</w:t>
      </w:r>
      <w:r w:rsidR="008B7C7B">
        <w:t xml:space="preserve"> power equipment, the </w:t>
      </w:r>
      <w:r w:rsidR="00C30373">
        <w:t xml:space="preserve">conducted power does not need to be reduced below the </w:t>
      </w:r>
      <w:r w:rsidR="008B7C7B">
        <w:t xml:space="preserve">FCC </w:t>
      </w:r>
      <w:r w:rsidR="00C30373">
        <w:t>maximum value of</w:t>
      </w:r>
      <w:r w:rsidR="00C439F1">
        <w:t xml:space="preserve"> 500 </w:t>
      </w:r>
      <w:proofErr w:type="spellStart"/>
      <w:r w:rsidR="00C439F1">
        <w:t>mW</w:t>
      </w:r>
      <w:proofErr w:type="spellEnd"/>
      <w:r w:rsidR="008B7C7B">
        <w:t xml:space="preserve"> </w:t>
      </w:r>
      <w:r w:rsidR="002847DC">
        <w:t xml:space="preserve">(27 dBm) </w:t>
      </w:r>
      <w:proofErr w:type="gramStart"/>
      <w:r w:rsidR="00C30373">
        <w:t>as long as</w:t>
      </w:r>
      <w:proofErr w:type="gramEnd"/>
      <w:r w:rsidR="008B7C7B">
        <w:t xml:space="preserve"> the allocation is at least 35, 18, and 9</w:t>
      </w:r>
      <w:r w:rsidR="005574B3">
        <w:t xml:space="preserve"> RBs for 240, 480 and 960 </w:t>
      </w:r>
      <w:r w:rsidR="00893DC9">
        <w:t>kHz</w:t>
      </w:r>
      <w:r w:rsidR="005574B3">
        <w:t xml:space="preserve"> respectively. </w:t>
      </w:r>
      <w:r w:rsidR="00C30373">
        <w:t>As mentioned above,</w:t>
      </w:r>
      <w:r w:rsidR="00E16847">
        <w:t xml:space="preserve"> PUCCH format 0</w:t>
      </w:r>
      <w:r w:rsidR="00BD5355">
        <w:t>,</w:t>
      </w:r>
      <w:r w:rsidR="00E16847">
        <w:t>1</w:t>
      </w:r>
      <w:r w:rsidR="00BD5355">
        <w:t>, and 4</w:t>
      </w:r>
      <w:r w:rsidR="00E16847">
        <w:t xml:space="preserve"> cannot </w:t>
      </w:r>
      <w:r w:rsidR="009D4EBB">
        <w:t xml:space="preserve">fulfill this requirement and therefore </w:t>
      </w:r>
      <w:r w:rsidR="00D37300">
        <w:t>PUCCH coverage</w:t>
      </w:r>
      <w:r w:rsidR="00F409A8">
        <w:t xml:space="preserve"> m</w:t>
      </w:r>
      <w:r w:rsidR="005C1C81">
        <w:t>ay be negatively impacted</w:t>
      </w:r>
      <w:r w:rsidR="00C30373">
        <w:t xml:space="preserve"> for high power equipment</w:t>
      </w:r>
      <w:r w:rsidR="00D37300">
        <w:t>.</w:t>
      </w:r>
      <w:r w:rsidR="009D4EBB">
        <w:t xml:space="preserve"> </w:t>
      </w:r>
      <w:r w:rsidR="00164581">
        <w:t xml:space="preserve">Time </w:t>
      </w:r>
      <w:r w:rsidR="0092254D">
        <w:t xml:space="preserve">domain repetition </w:t>
      </w:r>
      <w:r w:rsidR="00102B39">
        <w:t>can be used to compensate for the limited transmit power for PF0</w:t>
      </w:r>
      <w:r w:rsidR="00D32E75">
        <w:t>/1/4</w:t>
      </w:r>
      <w:r w:rsidR="00102B39">
        <w:t>.</w:t>
      </w:r>
      <w:r w:rsidR="00D32E75">
        <w:t xml:space="preserve"> Also</w:t>
      </w:r>
      <w:r w:rsidR="00427744">
        <w:t xml:space="preserve">, the </w:t>
      </w:r>
      <w:r w:rsidR="00BF09AB">
        <w:t xml:space="preserve">issue can be avoided if UCI is sent on PUSCH instead of PUCCH. </w:t>
      </w:r>
      <w:r w:rsidR="00164581">
        <w:t xml:space="preserve"> </w:t>
      </w:r>
      <w:r w:rsidR="00375696">
        <w:t>Alternative enhancements</w:t>
      </w:r>
      <w:r w:rsidR="00E53C68">
        <w:t xml:space="preserve">, such as </w:t>
      </w:r>
      <w:r w:rsidR="0068732C">
        <w:t xml:space="preserve">expanding the bandwidth of </w:t>
      </w:r>
      <w:r w:rsidR="00845D0A">
        <w:t>PUCCH</w:t>
      </w:r>
      <w:r w:rsidR="004D0CD1">
        <w:t xml:space="preserve"> can be considered</w:t>
      </w:r>
      <w:r w:rsidR="001845F2">
        <w:t xml:space="preserve"> </w:t>
      </w:r>
      <w:r w:rsidR="0068732C">
        <w:t xml:space="preserve">e.g., by design </w:t>
      </w:r>
      <w:r w:rsidR="00EB396F">
        <w:t>of</w:t>
      </w:r>
      <w:r w:rsidR="0068732C">
        <w:t xml:space="preserve"> longer sequences or by repetition in the frequency domain with application of appropriate PAPR mitigation techniques.</w:t>
      </w:r>
      <w:r w:rsidR="001845F2">
        <w:t xml:space="preserve"> However, </w:t>
      </w:r>
      <w:r w:rsidR="00AE1DD4">
        <w:t xml:space="preserve">extending PF 4 to multiple RBs essentially </w:t>
      </w:r>
      <w:r w:rsidR="00BE2F23">
        <w:t xml:space="preserve">turns </w:t>
      </w:r>
      <w:r w:rsidR="001965D2">
        <w:t xml:space="preserve">PF4 to a multi-user version of PF3. </w:t>
      </w:r>
      <w:r w:rsidR="00005CAB">
        <w:t xml:space="preserve">Hence, </w:t>
      </w:r>
      <w:r w:rsidR="00DE050E">
        <w:t xml:space="preserve">enhancing PF 4 is not critically needed. </w:t>
      </w:r>
    </w:p>
    <w:p w14:paraId="6BB32B39" w14:textId="77777777" w:rsidR="001E28A4" w:rsidRDefault="001E28A4" w:rsidP="00724CC7">
      <w:pPr>
        <w:pStyle w:val="BodyText"/>
      </w:pPr>
    </w:p>
    <w:p w14:paraId="62E59B9D" w14:textId="2A2D9C0A" w:rsidR="00E53C68" w:rsidRDefault="00DC68CD" w:rsidP="00111FAE">
      <w:pPr>
        <w:pStyle w:val="Proposal"/>
      </w:pPr>
      <w:bookmarkStart w:id="709" w:name="_Toc53776232"/>
      <w:r w:rsidRPr="008916CD">
        <w:t>Capture the following observation in TR 38.808:</w:t>
      </w:r>
      <w:r>
        <w:t xml:space="preserve"> it is beneficial to enhance </w:t>
      </w:r>
      <w:r w:rsidR="00D6312D">
        <w:t xml:space="preserve">PUCCH format 0 </w:t>
      </w:r>
      <w:r w:rsidR="00D27D63">
        <w:t>and 1</w:t>
      </w:r>
      <w:r w:rsidR="00D6312D">
        <w:t xml:space="preserve"> </w:t>
      </w:r>
      <w:r w:rsidR="00042B51">
        <w:t xml:space="preserve">to span multiple RBs </w:t>
      </w:r>
      <w:r w:rsidR="00D6312D">
        <w:t xml:space="preserve">to </w:t>
      </w:r>
      <w:r w:rsidR="00042B51">
        <w:t>allow larger</w:t>
      </w:r>
      <w:r w:rsidR="00D6312D">
        <w:t xml:space="preserve"> </w:t>
      </w:r>
      <w:r w:rsidR="00042C6F">
        <w:t>transmit power</w:t>
      </w:r>
      <w:r w:rsidR="00042B51">
        <w:t>.</w:t>
      </w:r>
      <w:bookmarkEnd w:id="709"/>
    </w:p>
    <w:p w14:paraId="470CE7B8" w14:textId="1B74BF22" w:rsidR="00270727" w:rsidRDefault="00270727" w:rsidP="0074544F">
      <w:pPr>
        <w:pStyle w:val="Observation"/>
        <w:numPr>
          <w:ilvl w:val="0"/>
          <w:numId w:val="0"/>
        </w:numPr>
        <w:ind w:left="1701" w:hanging="1701"/>
        <w:rPr>
          <w:lang w:val="en-GB"/>
        </w:rPr>
      </w:pPr>
    </w:p>
    <w:p w14:paraId="68D53D36" w14:textId="7ED65CEA" w:rsidR="00E0459B" w:rsidRDefault="00E0459B" w:rsidP="00E0459B">
      <w:pPr>
        <w:pStyle w:val="Heading2"/>
      </w:pPr>
      <w:bookmarkStart w:id="710" w:name="_Toc53775909"/>
      <w:r>
        <w:t>4.</w:t>
      </w:r>
      <w:r w:rsidR="00A7546B">
        <w:t>4</w:t>
      </w:r>
      <w:r>
        <w:tab/>
        <w:t>Scheduling and HARQ</w:t>
      </w:r>
      <w:bookmarkEnd w:id="710"/>
    </w:p>
    <w:p w14:paraId="6A579272" w14:textId="0F1EACFB" w:rsidR="00E90E9C" w:rsidRPr="00E90E9C" w:rsidRDefault="002466A4" w:rsidP="00E90E9C">
      <w:pPr>
        <w:rPr>
          <w:lang w:val="en-GB"/>
        </w:rPr>
      </w:pPr>
      <w:r w:rsidRPr="00E90E9C">
        <w:rPr>
          <w:noProof/>
        </w:rPr>
        <mc:AlternateContent>
          <mc:Choice Requires="wps">
            <w:drawing>
              <wp:inline distT="0" distB="0" distL="0" distR="0" wp14:anchorId="7C715B34" wp14:editId="23C4DDB1">
                <wp:extent cx="6096000" cy="798830"/>
                <wp:effectExtent l="0" t="0" r="19050" b="18415"/>
                <wp:docPr id="12393409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798830"/>
                        </a:xfrm>
                        <a:prstGeom prst="rect">
                          <a:avLst/>
                        </a:prstGeom>
                        <a:solidFill>
                          <a:srgbClr val="FFFFFF"/>
                        </a:solidFill>
                        <a:ln w="9525">
                          <a:solidFill>
                            <a:srgbClr val="000000"/>
                          </a:solidFill>
                          <a:miter lim="800000"/>
                          <a:headEnd/>
                          <a:tailEnd/>
                        </a:ln>
                      </wps:spPr>
                      <wps:txbx>
                        <w:txbxContent>
                          <w:p w14:paraId="63C75241" w14:textId="77777777" w:rsidR="00BE31F7" w:rsidRPr="00B15494" w:rsidRDefault="00BE31F7" w:rsidP="002466A4">
                            <w:pPr>
                              <w:spacing w:after="0"/>
                              <w:rPr>
                                <w:sz w:val="24"/>
                                <w:szCs w:val="24"/>
                              </w:rPr>
                            </w:pPr>
                            <w:r w:rsidRPr="00B15494">
                              <w:rPr>
                                <w:rFonts w:ascii="Times" w:eastAsia="Batang" w:hAnsi="Times"/>
                                <w:color w:val="181818"/>
                                <w:spacing w:val="-6"/>
                                <w:kern w:val="20"/>
                                <w:highlight w:val="green"/>
                              </w:rPr>
                              <w:t>Agreement</w:t>
                            </w:r>
                            <w:r w:rsidRPr="00B15494">
                              <w:rPr>
                                <w:rFonts w:ascii="Times" w:eastAsia="Batang" w:hAnsi="Times"/>
                                <w:color w:val="181818"/>
                                <w:spacing w:val="-6"/>
                                <w:kern w:val="20"/>
                              </w:rPr>
                              <w:t>:</w:t>
                            </w:r>
                          </w:p>
                          <w:p w14:paraId="70AB821E" w14:textId="77777777" w:rsidR="00BE31F7" w:rsidRPr="00B15494" w:rsidRDefault="00BE31F7" w:rsidP="002466A4">
                            <w:pPr>
                              <w:spacing w:after="0"/>
                              <w:rPr>
                                <w:sz w:val="24"/>
                                <w:szCs w:val="24"/>
                              </w:rPr>
                            </w:pPr>
                            <w:r w:rsidRPr="00B15494">
                              <w:rPr>
                                <w:rFonts w:ascii="Times" w:eastAsia="Batang" w:hAnsi="Times"/>
                                <w:color w:val="181818"/>
                                <w:spacing w:val="-6"/>
                                <w:kern w:val="20"/>
                              </w:rPr>
                              <w:t xml:space="preserve">Consider at least the following aspects of </w:t>
                            </w:r>
                            <w:r w:rsidRPr="00B15494">
                              <w:rPr>
                                <w:rFonts w:ascii="Times" w:eastAsia="Batang" w:hAnsi="Times"/>
                                <w:color w:val="181818"/>
                                <w:spacing w:val="-6"/>
                                <w:kern w:val="20"/>
                                <w:highlight w:val="yellow"/>
                              </w:rPr>
                              <w:t>scheduling</w:t>
                            </w:r>
                            <w:r w:rsidRPr="00B15494">
                              <w:rPr>
                                <w:rFonts w:ascii="Times" w:eastAsia="Batang" w:hAnsi="Times"/>
                                <w:color w:val="181818"/>
                                <w:spacing w:val="-6"/>
                                <w:kern w:val="20"/>
                              </w:rPr>
                              <w:t xml:space="preserve"> for BWP with a given SCS</w:t>
                            </w:r>
                          </w:p>
                          <w:p w14:paraId="7EABB86C" w14:textId="77777777" w:rsidR="00BE31F7" w:rsidRPr="00B15494" w:rsidRDefault="00BE31F7" w:rsidP="002466A4">
                            <w:pPr>
                              <w:numPr>
                                <w:ilvl w:val="0"/>
                                <w:numId w:val="47"/>
                              </w:numPr>
                              <w:overflowPunct/>
                              <w:autoSpaceDE/>
                              <w:autoSpaceDN/>
                              <w:adjustRightInd/>
                              <w:spacing w:after="0"/>
                              <w:ind w:left="1267"/>
                              <w:contextualSpacing/>
                              <w:rPr>
                                <w:color w:val="181818"/>
                                <w:szCs w:val="24"/>
                              </w:rPr>
                            </w:pPr>
                            <w:r w:rsidRPr="00B15494">
                              <w:rPr>
                                <w:rFonts w:ascii="Times" w:eastAsia="Batang" w:hAnsi="Times"/>
                                <w:color w:val="181818"/>
                                <w:spacing w:val="-6"/>
                                <w:kern w:val="20"/>
                              </w:rPr>
                              <w:t>Study of frequency domain scheduling enhancements/optimization for PDSCH/PUSCH, if needed</w:t>
                            </w:r>
                          </w:p>
                          <w:p w14:paraId="1CCF0D6F" w14:textId="77777777" w:rsidR="00BE31F7" w:rsidRPr="00B15494" w:rsidRDefault="00BE31F7" w:rsidP="002466A4">
                            <w:pPr>
                              <w:numPr>
                                <w:ilvl w:val="1"/>
                                <w:numId w:val="47"/>
                              </w:numPr>
                              <w:overflowPunct/>
                              <w:autoSpaceDE/>
                              <w:autoSpaceDN/>
                              <w:adjustRightInd/>
                              <w:spacing w:after="0"/>
                              <w:ind w:left="2606"/>
                              <w:contextualSpacing/>
                              <w:rPr>
                                <w:color w:val="181818"/>
                                <w:szCs w:val="24"/>
                              </w:rPr>
                            </w:pPr>
                            <w:r w:rsidRPr="00B15494">
                              <w:rPr>
                                <w:rFonts w:ascii="Times" w:eastAsia="Batang" w:hAnsi="Times"/>
                                <w:color w:val="181818"/>
                                <w:spacing w:val="-6"/>
                                <w:kern w:val="20"/>
                              </w:rPr>
                              <w:t>e.g. potential impact to UL scheduling if frequency domain resource allocation with different granularity than FR1/2 (e.g. sub-PRB, or more than one PRB) is supported</w:t>
                            </w:r>
                          </w:p>
                          <w:p w14:paraId="4E431B16" w14:textId="77777777" w:rsidR="00BE31F7" w:rsidRPr="00B15494" w:rsidRDefault="00BE31F7" w:rsidP="002466A4">
                            <w:pPr>
                              <w:numPr>
                                <w:ilvl w:val="0"/>
                                <w:numId w:val="47"/>
                              </w:numPr>
                              <w:overflowPunct/>
                              <w:autoSpaceDE/>
                              <w:autoSpaceDN/>
                              <w:adjustRightInd/>
                              <w:spacing w:after="0"/>
                              <w:ind w:left="1267"/>
                              <w:contextualSpacing/>
                              <w:rPr>
                                <w:color w:val="181818"/>
                                <w:szCs w:val="24"/>
                              </w:rPr>
                            </w:pPr>
                            <w:r w:rsidRPr="00B15494">
                              <w:rPr>
                                <w:rFonts w:ascii="Times" w:eastAsia="Batang" w:hAnsi="Times"/>
                                <w:color w:val="181818"/>
                                <w:spacing w:val="-6"/>
                                <w:kern w:val="20"/>
                              </w:rPr>
                              <w:t>Study of time domain scheduling enhancements for PDSCH/PUSCH, if needed</w:t>
                            </w:r>
                          </w:p>
                          <w:p w14:paraId="7F730AEE" w14:textId="77777777" w:rsidR="00BE31F7" w:rsidRPr="00B15494" w:rsidRDefault="00BE31F7" w:rsidP="002466A4">
                            <w:pPr>
                              <w:numPr>
                                <w:ilvl w:val="1"/>
                                <w:numId w:val="47"/>
                              </w:numPr>
                              <w:overflowPunct/>
                              <w:autoSpaceDE/>
                              <w:autoSpaceDN/>
                              <w:adjustRightInd/>
                              <w:spacing w:after="0"/>
                              <w:ind w:left="2606"/>
                              <w:contextualSpacing/>
                              <w:rPr>
                                <w:color w:val="181818"/>
                                <w:szCs w:val="24"/>
                              </w:rPr>
                            </w:pPr>
                            <w:r w:rsidRPr="00B15494">
                              <w:rPr>
                                <w:rFonts w:ascii="Times" w:eastAsia="Batang" w:hAnsi="Times"/>
                                <w:color w:val="181818"/>
                                <w:spacing w:val="-6"/>
                                <w:kern w:val="20"/>
                              </w:rPr>
                              <w:t>e.g. increasing the minimum time-domain scheduling unit to be larger than one symbol, supporting multi-PDSCH scheduled by one DCI, supporting one TB mapped to multiple slots (i.e., TTI bundling)</w:t>
                            </w:r>
                          </w:p>
                          <w:p w14:paraId="7B775AE5" w14:textId="77777777" w:rsidR="00BE31F7" w:rsidRPr="00E90E9C" w:rsidRDefault="00BE31F7" w:rsidP="002466A4">
                            <w:pPr>
                              <w:numPr>
                                <w:ilvl w:val="0"/>
                                <w:numId w:val="47"/>
                              </w:numPr>
                              <w:overflowPunct/>
                              <w:autoSpaceDE/>
                              <w:autoSpaceDN/>
                              <w:adjustRightInd/>
                              <w:spacing w:after="0"/>
                              <w:ind w:left="1267"/>
                              <w:contextualSpacing/>
                              <w:rPr>
                                <w:color w:val="181818"/>
                                <w:szCs w:val="24"/>
                              </w:rPr>
                            </w:pPr>
                            <w:r w:rsidRPr="00B15494">
                              <w:rPr>
                                <w:rFonts w:ascii="Times" w:eastAsia="Batang" w:hAnsi="Times"/>
                                <w:color w:val="181818"/>
                                <w:spacing w:val="-6"/>
                                <w:kern w:val="20"/>
                              </w:rPr>
                              <w:t>Study potential enhancements or alternatives to the scheduling request mechanism to reduce scheduling latency due to beam sweeping, if needed</w:t>
                            </w:r>
                          </w:p>
                        </w:txbxContent>
                      </wps:txbx>
                      <wps:bodyPr rot="0" vert="horz" wrap="square" lIns="91440" tIns="45720" rIns="91440" bIns="45720" anchor="t" anchorCtr="0">
                        <a:spAutoFit/>
                      </wps:bodyPr>
                    </wps:wsp>
                  </a:graphicData>
                </a:graphic>
              </wp:inline>
            </w:drawing>
          </mc:Choice>
          <mc:Fallback>
            <w:pict>
              <v:shape w14:anchorId="7C715B34" id="_x0000_s1036" type="#_x0000_t202" style="width:480pt;height:62.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">
                <v:textbox style="mso-fit-shape-to-text:t">
                  <w:txbxContent>
                    <w:p w14:paraId="63C75241" w14:textId="77777777" w:rsidR="00BE31F7" w:rsidRPr="00B15494" w:rsidRDefault="00BE31F7" w:rsidP="002466A4">
                      <w:pPr>
                        <w:spacing w:after="0"/>
                        <w:rPr>
                          <w:sz w:val="24"/>
                          <w:szCs w:val="24"/>
                        </w:rPr>
                      </w:pPr>
                      <w:r w:rsidRPr="00B15494">
                        <w:rPr>
                          <w:rFonts w:ascii="Times" w:eastAsia="Batang" w:hAnsi="Times"/>
                          <w:color w:val="181818"/>
                          <w:spacing w:val="-6"/>
                          <w:kern w:val="20"/>
                          <w:highlight w:val="green"/>
                        </w:rPr>
                        <w:t>Agreement</w:t>
                      </w:r>
                      <w:r w:rsidRPr="00B15494">
                        <w:rPr>
                          <w:rFonts w:ascii="Times" w:eastAsia="Batang" w:hAnsi="Times"/>
                          <w:color w:val="181818"/>
                          <w:spacing w:val="-6"/>
                          <w:kern w:val="20"/>
                        </w:rPr>
                        <w:t>:</w:t>
                      </w:r>
                    </w:p>
                    <w:p w14:paraId="70AB821E" w14:textId="77777777" w:rsidR="00BE31F7" w:rsidRPr="00B15494" w:rsidRDefault="00BE31F7" w:rsidP="002466A4">
                      <w:pPr>
                        <w:spacing w:after="0"/>
                        <w:rPr>
                          <w:sz w:val="24"/>
                          <w:szCs w:val="24"/>
                        </w:rPr>
                      </w:pPr>
                      <w:r w:rsidRPr="00B15494">
                        <w:rPr>
                          <w:rFonts w:ascii="Times" w:eastAsia="Batang" w:hAnsi="Times"/>
                          <w:color w:val="181818"/>
                          <w:spacing w:val="-6"/>
                          <w:kern w:val="20"/>
                        </w:rPr>
                        <w:t xml:space="preserve">Consider at least the following aspects of </w:t>
                      </w:r>
                      <w:r w:rsidRPr="00B15494">
                        <w:rPr>
                          <w:rFonts w:ascii="Times" w:eastAsia="Batang" w:hAnsi="Times"/>
                          <w:color w:val="181818"/>
                          <w:spacing w:val="-6"/>
                          <w:kern w:val="20"/>
                          <w:highlight w:val="yellow"/>
                        </w:rPr>
                        <w:t>scheduling</w:t>
                      </w:r>
                      <w:r w:rsidRPr="00B15494">
                        <w:rPr>
                          <w:rFonts w:ascii="Times" w:eastAsia="Batang" w:hAnsi="Times"/>
                          <w:color w:val="181818"/>
                          <w:spacing w:val="-6"/>
                          <w:kern w:val="20"/>
                        </w:rPr>
                        <w:t xml:space="preserve"> for BWP with a given SCS</w:t>
                      </w:r>
                    </w:p>
                    <w:p w14:paraId="7EABB86C" w14:textId="77777777" w:rsidR="00BE31F7" w:rsidRPr="00B15494" w:rsidRDefault="00BE31F7" w:rsidP="002466A4">
                      <w:pPr>
                        <w:numPr>
                          <w:ilvl w:val="0"/>
                          <w:numId w:val="47"/>
                        </w:numPr>
                        <w:overflowPunct/>
                        <w:autoSpaceDE/>
                        <w:autoSpaceDN/>
                        <w:adjustRightInd/>
                        <w:spacing w:after="0"/>
                        <w:ind w:left="1267"/>
                        <w:contextualSpacing/>
                        <w:rPr>
                          <w:color w:val="181818"/>
                          <w:szCs w:val="24"/>
                        </w:rPr>
                      </w:pPr>
                      <w:r w:rsidRPr="00B15494">
                        <w:rPr>
                          <w:rFonts w:ascii="Times" w:eastAsia="Batang" w:hAnsi="Times"/>
                          <w:color w:val="181818"/>
                          <w:spacing w:val="-6"/>
                          <w:kern w:val="20"/>
                        </w:rPr>
                        <w:t>Study of frequency domain scheduling enhancements/optimization for PDSCH/PUSCH, if needed</w:t>
                      </w:r>
                    </w:p>
                    <w:p w14:paraId="1CCF0D6F" w14:textId="77777777" w:rsidR="00BE31F7" w:rsidRPr="00B15494" w:rsidRDefault="00BE31F7" w:rsidP="002466A4">
                      <w:pPr>
                        <w:numPr>
                          <w:ilvl w:val="1"/>
                          <w:numId w:val="47"/>
                        </w:numPr>
                        <w:overflowPunct/>
                        <w:autoSpaceDE/>
                        <w:autoSpaceDN/>
                        <w:adjustRightInd/>
                        <w:spacing w:after="0"/>
                        <w:ind w:left="2606"/>
                        <w:contextualSpacing/>
                        <w:rPr>
                          <w:color w:val="181818"/>
                          <w:szCs w:val="24"/>
                        </w:rPr>
                      </w:pPr>
                      <w:r w:rsidRPr="00B15494">
                        <w:rPr>
                          <w:rFonts w:ascii="Times" w:eastAsia="Batang" w:hAnsi="Times"/>
                          <w:color w:val="181818"/>
                          <w:spacing w:val="-6"/>
                          <w:kern w:val="20"/>
                        </w:rPr>
                        <w:t>e.g. potential impact to UL scheduling if frequency domain resource allocation with different granularity than FR1/2 (e.g. sub-PRB, or more than one PRB) is supported</w:t>
                      </w:r>
                    </w:p>
                    <w:p w14:paraId="4E431B16" w14:textId="77777777" w:rsidR="00BE31F7" w:rsidRPr="00B15494" w:rsidRDefault="00BE31F7" w:rsidP="002466A4">
                      <w:pPr>
                        <w:numPr>
                          <w:ilvl w:val="0"/>
                          <w:numId w:val="47"/>
                        </w:numPr>
                        <w:overflowPunct/>
                        <w:autoSpaceDE/>
                        <w:autoSpaceDN/>
                        <w:adjustRightInd/>
                        <w:spacing w:after="0"/>
                        <w:ind w:left="1267"/>
                        <w:contextualSpacing/>
                        <w:rPr>
                          <w:color w:val="181818"/>
                          <w:szCs w:val="24"/>
                        </w:rPr>
                      </w:pPr>
                      <w:r w:rsidRPr="00B15494">
                        <w:rPr>
                          <w:rFonts w:ascii="Times" w:eastAsia="Batang" w:hAnsi="Times"/>
                          <w:color w:val="181818"/>
                          <w:spacing w:val="-6"/>
                          <w:kern w:val="20"/>
                        </w:rPr>
                        <w:t>Study of time domain scheduling enhancements for PDSCH/PUSCH, if needed</w:t>
                      </w:r>
                    </w:p>
                    <w:p w14:paraId="7F730AEE" w14:textId="77777777" w:rsidR="00BE31F7" w:rsidRPr="00B15494" w:rsidRDefault="00BE31F7" w:rsidP="002466A4">
                      <w:pPr>
                        <w:numPr>
                          <w:ilvl w:val="1"/>
                          <w:numId w:val="47"/>
                        </w:numPr>
                        <w:overflowPunct/>
                        <w:autoSpaceDE/>
                        <w:autoSpaceDN/>
                        <w:adjustRightInd/>
                        <w:spacing w:after="0"/>
                        <w:ind w:left="2606"/>
                        <w:contextualSpacing/>
                        <w:rPr>
                          <w:color w:val="181818"/>
                          <w:szCs w:val="24"/>
                        </w:rPr>
                      </w:pPr>
                      <w:r w:rsidRPr="00B15494">
                        <w:rPr>
                          <w:rFonts w:ascii="Times" w:eastAsia="Batang" w:hAnsi="Times"/>
                          <w:color w:val="181818"/>
                          <w:spacing w:val="-6"/>
                          <w:kern w:val="20"/>
                        </w:rPr>
                        <w:t>e.g. increasing the minimum time-domain scheduling unit to be larger than one symbol, supporting multi-PDSCH scheduled by one DCI, supporting one TB mapped to multiple slots (i.e., TTI bundling)</w:t>
                      </w:r>
                    </w:p>
                    <w:p w14:paraId="7B775AE5" w14:textId="77777777" w:rsidR="00BE31F7" w:rsidRPr="00E90E9C" w:rsidRDefault="00BE31F7" w:rsidP="002466A4">
                      <w:pPr>
                        <w:numPr>
                          <w:ilvl w:val="0"/>
                          <w:numId w:val="47"/>
                        </w:numPr>
                        <w:overflowPunct/>
                        <w:autoSpaceDE/>
                        <w:autoSpaceDN/>
                        <w:adjustRightInd/>
                        <w:spacing w:after="0"/>
                        <w:ind w:left="1267"/>
                        <w:contextualSpacing/>
                        <w:rPr>
                          <w:color w:val="181818"/>
                          <w:szCs w:val="24"/>
                        </w:rPr>
                      </w:pPr>
                      <w:r w:rsidRPr="00B15494">
                        <w:rPr>
                          <w:rFonts w:ascii="Times" w:eastAsia="Batang" w:hAnsi="Times"/>
                          <w:color w:val="181818"/>
                          <w:spacing w:val="-6"/>
                          <w:kern w:val="20"/>
                        </w:rPr>
                        <w:t>Study potential enhancements or alternatives to the scheduling request mechanism to reduce scheduling latency due to beam sweeping, if needed</w:t>
                      </w:r>
                    </w:p>
                  </w:txbxContent>
                </v:textbox>
                <w10:anchorlock/>
              </v:shape>
            </w:pict>
          </mc:Fallback>
        </mc:AlternateContent>
      </w:r>
    </w:p>
    <w:p w14:paraId="6E51918A" w14:textId="2887A0D3" w:rsidR="00C81EDA" w:rsidRDefault="00E0459B" w:rsidP="00C81EDA">
      <w:pPr>
        <w:pStyle w:val="Heading3"/>
      </w:pPr>
      <w:bookmarkStart w:id="711" w:name="_Toc47530182"/>
      <w:bookmarkStart w:id="712" w:name="_Toc53775910"/>
      <w:r w:rsidRPr="00C81EDA">
        <w:t>4.</w:t>
      </w:r>
      <w:r w:rsidR="00A7546B">
        <w:t>4</w:t>
      </w:r>
      <w:r w:rsidR="002205A9">
        <w:t>.1</w:t>
      </w:r>
      <w:r w:rsidR="00C81EDA" w:rsidRPr="00C81EDA">
        <w:tab/>
        <w:t>Time domain resource allocation aspects</w:t>
      </w:r>
      <w:bookmarkEnd w:id="712"/>
    </w:p>
    <w:p w14:paraId="4A494B60" w14:textId="30C2B0EF" w:rsidR="00C81EDA" w:rsidRDefault="00C81EDA" w:rsidP="00C81EDA">
      <w:pPr>
        <w:pStyle w:val="BodyText"/>
      </w:pPr>
      <w:r>
        <w:t xml:space="preserve">Given the much large UE processing latencies discussed in </w:t>
      </w:r>
      <w:r>
        <w:fldChar w:fldCharType="begin"/>
      </w:r>
      <w:r>
        <w:instrText xml:space="preserve"> REF _Ref46406873 \h </w:instrText>
      </w:r>
      <w:r>
        <w:fldChar w:fldCharType="separate"/>
      </w:r>
      <w:r w:rsidR="00BE31F7" w:rsidRPr="00F676BA">
        <w:t xml:space="preserve">Figure </w:t>
      </w:r>
      <w:r w:rsidR="00BE31F7">
        <w:rPr>
          <w:noProof/>
        </w:rPr>
        <w:t>34</w:t>
      </w:r>
      <w:r>
        <w:fldChar w:fldCharType="end"/>
      </w:r>
      <w:r>
        <w:t xml:space="preserve"> and </w:t>
      </w:r>
      <w:r>
        <w:fldChar w:fldCharType="begin"/>
      </w:r>
      <w:r>
        <w:instrText xml:space="preserve"> REF _Ref46407328 \h </w:instrText>
      </w:r>
      <w:r>
        <w:fldChar w:fldCharType="separate"/>
      </w:r>
      <w:r w:rsidR="00BE31F7" w:rsidRPr="00F676BA">
        <w:t xml:space="preserve">Figure </w:t>
      </w:r>
      <w:r w:rsidR="00BE31F7">
        <w:rPr>
          <w:noProof/>
        </w:rPr>
        <w:t>35</w:t>
      </w:r>
      <w:r>
        <w:fldChar w:fldCharType="end"/>
      </w:r>
      <w:r>
        <w:t xml:space="preserve"> in Section 3.5, an increase of the number of HARQ processes may become necessary in order not to throttle data throughputs due to HARQ process starvation. However, a larger number of HARQ processes will increase the DCI and HARQ-ACK sizes, which can negatively impact the coverage of NR operation in 52.6 to 71 GHz.</w:t>
      </w:r>
    </w:p>
    <w:p w14:paraId="78DD7F9B" w14:textId="77777777" w:rsidR="00C81EDA" w:rsidRDefault="00C81EDA" w:rsidP="00C81EDA">
      <w:pPr>
        <w:pStyle w:val="BodyText"/>
      </w:pPr>
    </w:p>
    <w:p w14:paraId="6475666D" w14:textId="77777777" w:rsidR="00C81EDA" w:rsidRPr="00814DDC" w:rsidRDefault="00C81EDA" w:rsidP="00C81EDA">
      <w:pPr>
        <w:pStyle w:val="Observation"/>
        <w:rPr>
          <w:lang w:val="en-GB"/>
        </w:rPr>
      </w:pPr>
      <w:bookmarkStart w:id="713" w:name="_Toc53775929"/>
      <w:r>
        <w:rPr>
          <w:lang w:val="en-GB"/>
        </w:rPr>
        <w:lastRenderedPageBreak/>
        <w:t xml:space="preserve">Because of larger processing latencies, </w:t>
      </w:r>
      <w:r>
        <w:t>the numbers of DL and UL HARQ processes may need to be increased. Otherwise, physical layer specification and implementation changes compared to Rel-15 may be needed to sustain high data throughput.</w:t>
      </w:r>
      <w:bookmarkEnd w:id="713"/>
    </w:p>
    <w:p w14:paraId="06E74D07" w14:textId="77777777" w:rsidR="00C81EDA" w:rsidRDefault="00C81EDA" w:rsidP="00C81EDA">
      <w:pPr>
        <w:pStyle w:val="BodyText"/>
      </w:pPr>
    </w:p>
    <w:p w14:paraId="7282A875" w14:textId="77777777" w:rsidR="00C81EDA" w:rsidRDefault="00C81EDA" w:rsidP="00C81EDA">
      <w:pPr>
        <w:pStyle w:val="BodyText"/>
      </w:pPr>
      <w:r>
        <w:t xml:space="preserve">Furthermore, given the short slot durations and longer processing latencies (in terms of the numerology) associated with larger SCSs, it </w:t>
      </w:r>
      <w:r w:rsidDel="003F7075">
        <w:t xml:space="preserve">may </w:t>
      </w:r>
      <w:r>
        <w:t xml:space="preserve">be beneficial to consider extending the multi-PUSCH scheduling feature introduced in Rel-16 to the scheduling of multiple PDSCH using one DCI in Rel-17. This can be accomplished using the same approach as Rel-16 multiple-PUSCH time domain resource allocation. That is, each row in the new multi-PDSCH scheduling time domain resource allocation table can contains multiple mapping types and </w:t>
      </w:r>
      <w:proofErr w:type="spellStart"/>
      <w:r w:rsidRPr="001A2148">
        <w:rPr>
          <w:i/>
          <w:iCs/>
        </w:rPr>
        <w:t>startSymbolAndLength</w:t>
      </w:r>
      <w:proofErr w:type="spellEnd"/>
      <w:r>
        <w:t xml:space="preserve"> settings. A single K1 can be used to indicate the starting slot of multiple PDSCHs, each of which follows its own mapping type and </w:t>
      </w:r>
      <w:proofErr w:type="spellStart"/>
      <w:r w:rsidRPr="00E472BB">
        <w:rPr>
          <w:i/>
        </w:rPr>
        <w:t>startSymbolAndLength</w:t>
      </w:r>
      <w:proofErr w:type="spellEnd"/>
      <w:r>
        <w:t xml:space="preserve"> as specified by the applicable row in the time domain resource allocation table. </w:t>
      </w:r>
      <w:proofErr w:type="gramStart"/>
      <w:r>
        <w:t>Similar to</w:t>
      </w:r>
      <w:proofErr w:type="gramEnd"/>
      <w:r>
        <w:t xml:space="preserve"> Rel-16, the HARQ process number field in the DCI a</w:t>
      </w:r>
      <w:r w:rsidRPr="00206234">
        <w:t>pplies to the first scheduled P</w:t>
      </w:r>
      <w:r>
        <w:t>D</w:t>
      </w:r>
      <w:r w:rsidRPr="00206234">
        <w:t xml:space="preserve">SCH. HARQ process </w:t>
      </w:r>
      <w:r>
        <w:t>number</w:t>
      </w:r>
      <w:r w:rsidRPr="00206234">
        <w:t xml:space="preserve"> is then incremented by 1 for</w:t>
      </w:r>
      <w:r>
        <w:t xml:space="preserve"> each</w:t>
      </w:r>
      <w:r w:rsidRPr="00206234">
        <w:t xml:space="preserve"> subsequent P</w:t>
      </w:r>
      <w:r>
        <w:t>D</w:t>
      </w:r>
      <w:r w:rsidRPr="00206234">
        <w:t>SCHs in the scheduled order, with modulo operation as needed</w:t>
      </w:r>
      <w:r>
        <w:t>. Separate NDI and RV fields are provided for each of the scheduled PDSCHs.</w:t>
      </w:r>
    </w:p>
    <w:p w14:paraId="19858312" w14:textId="1107163F" w:rsidR="00C81EDA" w:rsidRDefault="00C81EDA" w:rsidP="00C81EDA">
      <w:pPr>
        <w:pStyle w:val="BodyText"/>
      </w:pPr>
      <w:r>
        <w:t xml:space="preserve">An example of using one DCI to schedule four consecutive PDSCHs is </w:t>
      </w:r>
      <w:r w:rsidRPr="00143BB1">
        <w:t xml:space="preserve">illustrated in </w:t>
      </w:r>
      <w:r w:rsidRPr="00143BB1">
        <w:fldChar w:fldCharType="begin"/>
      </w:r>
      <w:r w:rsidRPr="00143BB1">
        <w:instrText xml:space="preserve"> REF _Ref47013743 \h  \* MERGEFORMAT </w:instrText>
      </w:r>
      <w:r w:rsidRPr="00143BB1">
        <w:fldChar w:fldCharType="separate"/>
      </w:r>
      <w:r w:rsidR="00BE31F7" w:rsidRPr="00F676BA">
        <w:t xml:space="preserve">Figure </w:t>
      </w:r>
      <w:r w:rsidR="00BE31F7">
        <w:rPr>
          <w:noProof/>
        </w:rPr>
        <w:t>47</w:t>
      </w:r>
      <w:r w:rsidRPr="00143BB1">
        <w:fldChar w:fldCharType="end"/>
      </w:r>
      <w:r w:rsidRPr="00143BB1">
        <w:t>.</w:t>
      </w:r>
      <w:r>
        <w:t xml:space="preserve"> A PUCCH can carry the feedback corresponding to the four consecutive PDSCHs.</w:t>
      </w:r>
      <w:r w:rsidRPr="00811A4D">
        <w:t xml:space="preserve"> </w:t>
      </w:r>
      <w:r>
        <w:t>Multi-PDSCH scheduling will not only save on DCI overhead, but also makes it possible to operate with lower PDCCH monitoring granularity without compromising on scheduling granularity. In return, lower PDCCH monitoring granularity will result in significant UE power consumption savings.</w:t>
      </w:r>
    </w:p>
    <w:p w14:paraId="3202190A" w14:textId="77777777" w:rsidR="00C81EDA" w:rsidRDefault="00C81EDA" w:rsidP="00C81EDA">
      <w:pPr>
        <w:pStyle w:val="BodyText"/>
      </w:pPr>
    </w:p>
    <w:p w14:paraId="158763C3" w14:textId="77777777" w:rsidR="00C81EDA" w:rsidRDefault="00C81EDA" w:rsidP="00C81EDA">
      <w:pPr>
        <w:pStyle w:val="BodyText"/>
        <w:spacing w:after="0"/>
        <w:jc w:val="center"/>
      </w:pPr>
      <w:r w:rsidRPr="00FD51FE">
        <w:rPr>
          <w:noProof/>
        </w:rPr>
        <w:drawing>
          <wp:inline distT="0" distB="0" distL="0" distR="0" wp14:anchorId="611FE0B7" wp14:editId="1EFCB768">
            <wp:extent cx="5486400" cy="1113183"/>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9">
                      <a:extLst>
                        <a:ext uri="{28A0092B-C50C-407E-A947-70E740481C1C}">
                          <a14:useLocalDpi xmlns:a14="http://schemas.microsoft.com/office/drawing/2010/main" val="0"/>
                        </a:ext>
                      </a:extLst>
                    </a:blip>
                    <a:srcRect b="9823"/>
                    <a:stretch/>
                  </pic:blipFill>
                  <pic:spPr bwMode="auto">
                    <a:xfrm>
                      <a:off x="0" y="0"/>
                      <a:ext cx="5486400" cy="1113183"/>
                    </a:xfrm>
                    <a:prstGeom prst="rect">
                      <a:avLst/>
                    </a:prstGeom>
                    <a:noFill/>
                    <a:ln>
                      <a:noFill/>
                    </a:ln>
                    <a:extLst>
                      <a:ext uri="{53640926-AAD7-44D8-BBD7-CCE9431645EC}">
                        <a14:shadowObscured xmlns:a14="http://schemas.microsoft.com/office/drawing/2010/main"/>
                      </a:ext>
                    </a:extLst>
                  </pic:spPr>
                </pic:pic>
              </a:graphicData>
            </a:graphic>
          </wp:inline>
        </w:drawing>
      </w:r>
    </w:p>
    <w:p w14:paraId="060ADC20" w14:textId="7E74FE48" w:rsidR="00C81EDA" w:rsidRDefault="00C81EDA" w:rsidP="00C81EDA">
      <w:pPr>
        <w:pStyle w:val="TF"/>
        <w:spacing w:before="120"/>
        <w:rPr>
          <w:vertAlign w:val="subscript"/>
        </w:rPr>
      </w:pPr>
      <w:bookmarkStart w:id="714" w:name="_Ref47013743"/>
      <w:r w:rsidRPr="00F676BA">
        <w:rPr>
          <w:lang w:val="en-US"/>
        </w:rPr>
        <w:t xml:space="preserve">Figure </w:t>
      </w:r>
      <w:r>
        <w:rPr>
          <w:lang w:val="en-US"/>
        </w:rPr>
        <w:fldChar w:fldCharType="begin"/>
      </w:r>
      <w:r w:rsidRPr="00F676BA">
        <w:rPr>
          <w:lang w:val="en-US"/>
        </w:rPr>
        <w:instrText xml:space="preserve"> SEQ Figure \* ARABIC </w:instrText>
      </w:r>
      <w:r>
        <w:rPr>
          <w:lang w:val="en-US"/>
        </w:rPr>
        <w:fldChar w:fldCharType="separate"/>
      </w:r>
      <w:r w:rsidR="00BE31F7">
        <w:rPr>
          <w:noProof/>
          <w:lang w:val="en-US"/>
        </w:rPr>
        <w:t>47</w:t>
      </w:r>
      <w:r>
        <w:rPr>
          <w:lang w:val="en-US"/>
        </w:rPr>
        <w:fldChar w:fldCharType="end"/>
      </w:r>
      <w:bookmarkEnd w:id="714"/>
      <w:r w:rsidRPr="00F676BA">
        <w:rPr>
          <w:lang w:val="en-US"/>
        </w:rPr>
        <w:t xml:space="preserve">: </w:t>
      </w:r>
      <w:r>
        <w:rPr>
          <w:lang w:val="en-US"/>
        </w:rPr>
        <w:t>Example of multiple-PDSCH scheduling.</w:t>
      </w:r>
    </w:p>
    <w:p w14:paraId="69AB7883" w14:textId="77777777" w:rsidR="00C81EDA" w:rsidRDefault="00C81EDA" w:rsidP="00C81EDA">
      <w:pPr>
        <w:pStyle w:val="BodyText"/>
      </w:pPr>
    </w:p>
    <w:p w14:paraId="723B1EF7" w14:textId="0013CC3A" w:rsidR="00C81EDA" w:rsidRDefault="00682963" w:rsidP="00C81EDA">
      <w:pPr>
        <w:pStyle w:val="Proposal"/>
      </w:pPr>
      <w:bookmarkStart w:id="715" w:name="_Toc53776233"/>
      <w:r>
        <w:t xml:space="preserve">Capture the following observation in TR 38.808: </w:t>
      </w:r>
      <w:r w:rsidR="00C76558">
        <w:t xml:space="preserve">For operation in 52.6 – 71 GHz it is beneficial to support </w:t>
      </w:r>
      <w:r w:rsidR="00C81EDA">
        <w:t xml:space="preserve">scheduling multiple PDSCH using one DCI </w:t>
      </w:r>
      <w:r w:rsidR="0091275F">
        <w:t xml:space="preserve">by extending </w:t>
      </w:r>
      <w:r w:rsidR="00DB4F8F">
        <w:t>the multi-PUSCH scheduling feature introduced in Rel-16 to the scheduling of multiple PDSCH using one DCI in Rel-17</w:t>
      </w:r>
      <w:bookmarkEnd w:id="715"/>
    </w:p>
    <w:p w14:paraId="50ED1EBE" w14:textId="77777777" w:rsidR="00F659CF" w:rsidRPr="00F659CF" w:rsidRDefault="00F659CF" w:rsidP="00F659CF">
      <w:pPr>
        <w:pStyle w:val="BodyText"/>
      </w:pPr>
    </w:p>
    <w:p w14:paraId="45632A4A" w14:textId="0AA9AD3A" w:rsidR="006D0BAA" w:rsidRPr="000E4B12" w:rsidRDefault="006D0BAA" w:rsidP="004F69A1">
      <w:pPr>
        <w:pStyle w:val="BodyText"/>
      </w:pPr>
      <w:r w:rsidRPr="000E4B12">
        <w:t xml:space="preserve">As discussed in Section 3.5, the UE PDCCH processing capabilities in </w:t>
      </w:r>
      <w:r w:rsidR="00185517">
        <w:t xml:space="preserve">the </w:t>
      </w:r>
      <w:r w:rsidRPr="000E4B12">
        <w:t xml:space="preserve">number of </w:t>
      </w:r>
      <w:proofErr w:type="gramStart"/>
      <w:r w:rsidRPr="000E4B12">
        <w:t>blind</w:t>
      </w:r>
      <w:proofErr w:type="gramEnd"/>
      <w:r w:rsidRPr="000E4B12">
        <w:t xml:space="preserve"> decodes and the number channel estimation CCEs per slot shrink exponentially with the numerologies. The Rel-15 PDCCH processing capabilities per slot can be fitted to simple formulae to obtain initial benchmarks for further discussion. Using the minimum mean absolute deviation fitting, the fitted and extrapolated PDCCH processing capabilities per slot are shown as follows:</w:t>
      </w:r>
    </w:p>
    <w:p w14:paraId="085A3D5E" w14:textId="77777777" w:rsidR="006D0BAA" w:rsidRPr="000E4B12" w:rsidRDefault="00B04ED4" w:rsidP="004F69A1">
      <w:pPr>
        <w:pStyle w:val="BodyText"/>
      </w:pPr>
      <m:oMathPara>
        <m:oMathParaPr>
          <m:jc m:val="centerGroup"/>
        </m:oMathParaPr>
        <m:oMath>
          <m:sSubSup>
            <m:sSubSupPr>
              <m:ctrlPr>
                <w:rPr>
                  <w:rFonts w:ascii="Cambria Math" w:hAnsi="Cambria Math"/>
                </w:rPr>
              </m:ctrlPr>
            </m:sSubSupPr>
            <m:e>
              <m:r>
                <w:rPr>
                  <w:rFonts w:ascii="Cambria Math" w:hAnsi="Cambria Math"/>
                </w:rPr>
                <m:t>N</m:t>
              </m:r>
            </m:e>
            <m:sub>
              <m:r>
                <m:rPr>
                  <m:sty m:val="p"/>
                </m:rPr>
                <w:rPr>
                  <w:rFonts w:ascii="Cambria Math" w:hAnsi="Cambria Math"/>
                </w:rPr>
                <m:t>BD</m:t>
              </m:r>
            </m:sub>
            <m:sup>
              <m:r>
                <m:rPr>
                  <m:sty m:val="p"/>
                </m:rPr>
                <w:rPr>
                  <w:rFonts w:ascii="Cambria Math" w:hAnsi="Cambria Math"/>
                </w:rPr>
                <m:t>slot</m:t>
              </m:r>
            </m:sup>
          </m:sSubSup>
          <m:r>
            <w:rPr>
              <w:rFonts w:ascii="Cambria Math" w:hAnsi="Cambria Math"/>
            </w:rPr>
            <m:t>≅44×</m:t>
          </m:r>
          <m:sSup>
            <m:sSupPr>
              <m:ctrlPr>
                <w:rPr>
                  <w:rFonts w:ascii="Cambria Math" w:hAnsi="Cambria Math"/>
                </w:rPr>
              </m:ctrlPr>
            </m:sSupPr>
            <m:e>
              <m:r>
                <w:rPr>
                  <w:rFonts w:ascii="Cambria Math" w:hAnsi="Cambria Math"/>
                </w:rPr>
                <m:t>2</m:t>
              </m:r>
            </m:e>
            <m:sup>
              <m:r>
                <w:rPr>
                  <w:rFonts w:ascii="Cambria Math" w:hAnsi="Cambria Math"/>
                </w:rPr>
                <m:t>-</m:t>
              </m:r>
              <m:r>
                <w:rPr>
                  <w:rFonts w:ascii="Cambria Math" w:hAnsi="Cambria Math"/>
                </w:rPr>
                <m:t>0.38μ</m:t>
              </m:r>
            </m:sup>
          </m:sSup>
        </m:oMath>
      </m:oMathPara>
    </w:p>
    <w:p w14:paraId="08F0F0E8" w14:textId="77777777" w:rsidR="006D0BAA" w:rsidRPr="00B04ED4" w:rsidRDefault="00B04ED4" w:rsidP="004F69A1">
      <w:pPr>
        <w:pStyle w:val="BodyText"/>
      </w:pPr>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CCE</m:t>
              </m:r>
            </m:sub>
            <m:sup>
              <m:r>
                <m:rPr>
                  <m:sty m:val="p"/>
                </m:rPr>
                <w:rPr>
                  <w:rFonts w:ascii="Cambria Math" w:hAnsi="Cambria Math"/>
                </w:rPr>
                <m:t>slot</m:t>
              </m:r>
            </m:sup>
          </m:sSubSup>
          <m:r>
            <m:rPr>
              <m:sty m:val="p"/>
            </m:rPr>
            <w:rPr>
              <w:rFonts w:ascii="Cambria Math" w:hAnsi="Cambria Math"/>
            </w:rPr>
            <m:t>≅62.6×</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m:t>
              </m:r>
              <m:r>
                <m:rPr>
                  <m:sty m:val="p"/>
                </m:rPr>
                <w:rPr>
                  <w:rFonts w:ascii="Cambria Math" w:hAnsi="Cambria Math"/>
                </w:rPr>
                <m:t>0.32</m:t>
              </m:r>
              <m:r>
                <w:rPr>
                  <w:rFonts w:ascii="Cambria Math" w:hAnsi="Cambria Math"/>
                </w:rPr>
                <m:t>μ</m:t>
              </m:r>
            </m:sup>
          </m:sSup>
        </m:oMath>
      </m:oMathPara>
    </w:p>
    <w:p w14:paraId="1E5698C6" w14:textId="703CA6E1" w:rsidR="006D0BAA" w:rsidRPr="000E4B12" w:rsidRDefault="006D0BAA" w:rsidP="006D0BAA">
      <w:pPr>
        <w:keepNext/>
        <w:spacing w:after="120"/>
        <w:jc w:val="center"/>
        <w:rPr>
          <w:rFonts w:ascii="Arial" w:hAnsi="Arial" w:cs="Arial"/>
          <w:b/>
          <w:lang w:eastAsia="en-GB"/>
        </w:rPr>
      </w:pPr>
      <w:r w:rsidRPr="000E4B12">
        <w:rPr>
          <w:rFonts w:ascii="Arial" w:hAnsi="Arial" w:cs="Arial"/>
          <w:b/>
          <w:lang w:eastAsia="en-GB"/>
        </w:rPr>
        <w:t xml:space="preserve">Figure </w:t>
      </w:r>
      <w:r w:rsidRPr="000E4B12">
        <w:rPr>
          <w:rFonts w:ascii="Arial" w:hAnsi="Arial" w:cs="Arial"/>
          <w:b/>
          <w:lang w:eastAsia="en-GB"/>
        </w:rPr>
        <w:fldChar w:fldCharType="begin"/>
      </w:r>
      <w:r w:rsidRPr="000E4B12">
        <w:rPr>
          <w:rFonts w:ascii="Arial" w:hAnsi="Arial" w:cs="Arial"/>
          <w:b/>
          <w:lang w:eastAsia="en-GB"/>
        </w:rPr>
        <w:instrText xml:space="preserve"> SEQ Figure \* ARABIC </w:instrText>
      </w:r>
      <w:r w:rsidRPr="000E4B12">
        <w:rPr>
          <w:rFonts w:ascii="Arial" w:hAnsi="Arial" w:cs="Arial"/>
          <w:b/>
          <w:lang w:eastAsia="en-GB"/>
        </w:rPr>
        <w:fldChar w:fldCharType="separate"/>
      </w:r>
      <w:r w:rsidR="00BE31F7">
        <w:rPr>
          <w:rFonts w:ascii="Arial" w:hAnsi="Arial" w:cs="Arial"/>
          <w:b/>
          <w:noProof/>
          <w:lang w:eastAsia="en-GB"/>
        </w:rPr>
        <w:t>48</w:t>
      </w:r>
      <w:r w:rsidRPr="000E4B12">
        <w:rPr>
          <w:rFonts w:ascii="Arial" w:hAnsi="Arial" w:cs="Arial"/>
          <w:b/>
          <w:lang w:eastAsia="en-GB"/>
        </w:rPr>
        <w:fldChar w:fldCharType="end"/>
      </w:r>
      <w:r w:rsidRPr="000E4B12">
        <w:rPr>
          <w:rFonts w:ascii="Arial" w:hAnsi="Arial" w:cs="Arial"/>
          <w:b/>
          <w:lang w:eastAsia="en-GB"/>
        </w:rPr>
        <w:t xml:space="preserve">: Extrapolated </w:t>
      </w:r>
      <m:oMath>
        <m:sSubSup>
          <m:sSubSupPr>
            <m:ctrlPr>
              <w:rPr>
                <w:rFonts w:ascii="Cambria Math" w:hAnsi="Cambria Math"/>
                <w:b/>
                <w:i/>
                <w:iCs/>
                <w:lang w:eastAsia="zh-CN"/>
              </w:rPr>
            </m:ctrlPr>
          </m:sSubSupPr>
          <m:e>
            <m:r>
              <m:rPr>
                <m:sty m:val="bi"/>
              </m:rPr>
              <w:rPr>
                <w:rFonts w:ascii="Cambria Math" w:hAnsi="Cambria Math"/>
                <w:lang w:eastAsia="en-GB"/>
              </w:rPr>
              <m:t>N</m:t>
            </m:r>
          </m:e>
          <m:sub>
            <m:r>
              <m:rPr>
                <m:sty m:val="b"/>
              </m:rPr>
              <w:rPr>
                <w:rFonts w:ascii="Cambria Math" w:hAnsi="Cambria Math"/>
                <w:lang w:eastAsia="en-GB"/>
              </w:rPr>
              <m:t>BD</m:t>
            </m:r>
          </m:sub>
          <m:sup>
            <m:r>
              <m:rPr>
                <m:sty m:val="b"/>
              </m:rPr>
              <w:rPr>
                <w:rFonts w:ascii="Cambria Math" w:hAnsi="Cambria Math"/>
                <w:lang w:eastAsia="en-GB"/>
              </w:rPr>
              <m:t>slot</m:t>
            </m:r>
          </m:sup>
        </m:sSubSup>
      </m:oMath>
      <w:r w:rsidRPr="000E4B12">
        <w:rPr>
          <w:rFonts w:ascii="Arial" w:hAnsi="Arial" w:cs="Arial"/>
          <w:b/>
          <w:lang w:eastAsia="en-GB"/>
        </w:rPr>
        <w:t xml:space="preserve"> and </w:t>
      </w:r>
      <m:oMath>
        <m:sSubSup>
          <m:sSubSupPr>
            <m:ctrlPr>
              <w:rPr>
                <w:rFonts w:ascii="Cambria Math" w:hAnsi="Cambria Math"/>
                <w:b/>
                <w:i/>
                <w:iCs/>
                <w:lang w:eastAsia="zh-CN"/>
              </w:rPr>
            </m:ctrlPr>
          </m:sSubSupPr>
          <m:e>
            <m:r>
              <m:rPr>
                <m:sty m:val="bi"/>
              </m:rPr>
              <w:rPr>
                <w:rFonts w:ascii="Cambria Math" w:hAnsi="Cambria Math"/>
                <w:lang w:eastAsia="en-GB"/>
              </w:rPr>
              <m:t>N</m:t>
            </m:r>
          </m:e>
          <m:sub>
            <m:r>
              <m:rPr>
                <m:sty m:val="b"/>
              </m:rPr>
              <w:rPr>
                <w:rFonts w:ascii="Cambria Math" w:hAnsi="Cambria Math"/>
                <w:lang w:eastAsia="en-GB"/>
              </w:rPr>
              <m:t>CCE</m:t>
            </m:r>
          </m:sub>
          <m:sup>
            <m:r>
              <m:rPr>
                <m:sty m:val="b"/>
              </m:rPr>
              <w:rPr>
                <w:rFonts w:ascii="Cambria Math" w:hAnsi="Cambria Math"/>
                <w:lang w:eastAsia="en-GB"/>
              </w:rPr>
              <m:t>slot</m:t>
            </m:r>
          </m:sup>
        </m:sSubSup>
      </m:oMath>
      <w:r w:rsidRPr="000E4B12">
        <w:rPr>
          <w:rFonts w:ascii="Arial" w:hAnsi="Arial" w:cs="Arial"/>
          <w:b/>
          <w:iCs/>
          <w:lang w:eastAsia="en-GB"/>
        </w:rPr>
        <w:t xml:space="preserve"> </w:t>
      </w:r>
      <w:r w:rsidRPr="000E4B12">
        <w:rPr>
          <w:rFonts w:ascii="Arial" w:hAnsi="Arial" w:cs="Arial"/>
          <w:b/>
          <w:lang w:eastAsia="en-GB"/>
        </w:rPr>
        <w:t>values per slot</w:t>
      </w:r>
    </w:p>
    <w:tbl>
      <w:tblPr>
        <w:tblW w:w="8640" w:type="dxa"/>
        <w:tblInd w:w="445" w:type="dxa"/>
        <w:tblLayout w:type="fixed"/>
        <w:tblLook w:val="04A0" w:firstRow="1" w:lastRow="0" w:firstColumn="1" w:lastColumn="0" w:noHBand="0" w:noVBand="1"/>
      </w:tblPr>
      <w:tblGrid>
        <w:gridCol w:w="1530"/>
        <w:gridCol w:w="1015"/>
        <w:gridCol w:w="1016"/>
        <w:gridCol w:w="1016"/>
        <w:gridCol w:w="1015"/>
        <w:gridCol w:w="1016"/>
        <w:gridCol w:w="1016"/>
        <w:gridCol w:w="1016"/>
      </w:tblGrid>
      <w:tr w:rsidR="006D0BAA" w:rsidRPr="000E4B12" w14:paraId="6AA2B274" w14:textId="77777777" w:rsidTr="004F69A1">
        <w:trPr>
          <w:trHeight w:val="52"/>
        </w:trPr>
        <w:tc>
          <w:tcPr>
            <w:tcW w:w="1530" w:type="dxa"/>
            <w:tcBorders>
              <w:top w:val="single" w:sz="4" w:space="0" w:color="auto"/>
              <w:left w:val="single" w:sz="4" w:space="0" w:color="auto"/>
              <w:bottom w:val="double" w:sz="4" w:space="0" w:color="auto"/>
              <w:right w:val="double" w:sz="4" w:space="0" w:color="auto"/>
            </w:tcBorders>
            <w:vAlign w:val="center"/>
            <w:hideMark/>
          </w:tcPr>
          <w:p w14:paraId="7B2FA903" w14:textId="77777777" w:rsidR="006D0BAA" w:rsidRPr="000E4B12" w:rsidRDefault="006D0BAA" w:rsidP="00D36827">
            <w:pPr>
              <w:spacing w:before="40" w:after="40"/>
              <w:jc w:val="center"/>
              <w:rPr>
                <w:rFonts w:ascii="Arial" w:hAnsi="Arial"/>
                <w:lang w:eastAsia="zh-CN"/>
              </w:rPr>
            </w:pPr>
            <w:r w:rsidRPr="000E4B12">
              <w:rPr>
                <w:rFonts w:ascii="Arial" w:hAnsi="Arial"/>
                <w:lang w:eastAsia="zh-CN"/>
              </w:rPr>
              <w:t>SCS [kHz]</w:t>
            </w:r>
          </w:p>
        </w:tc>
        <w:tc>
          <w:tcPr>
            <w:tcW w:w="1015" w:type="dxa"/>
            <w:tcBorders>
              <w:top w:val="single" w:sz="4" w:space="0" w:color="auto"/>
              <w:left w:val="double" w:sz="4" w:space="0" w:color="auto"/>
              <w:bottom w:val="double" w:sz="4" w:space="0" w:color="auto"/>
              <w:right w:val="single" w:sz="4" w:space="0" w:color="auto"/>
            </w:tcBorders>
            <w:vAlign w:val="center"/>
            <w:hideMark/>
          </w:tcPr>
          <w:p w14:paraId="6E73C40F"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15</w:t>
            </w:r>
          </w:p>
        </w:tc>
        <w:tc>
          <w:tcPr>
            <w:tcW w:w="1016" w:type="dxa"/>
            <w:tcBorders>
              <w:top w:val="single" w:sz="4" w:space="0" w:color="auto"/>
              <w:left w:val="single" w:sz="4" w:space="0" w:color="auto"/>
              <w:bottom w:val="double" w:sz="4" w:space="0" w:color="auto"/>
              <w:right w:val="single" w:sz="4" w:space="0" w:color="auto"/>
            </w:tcBorders>
            <w:vAlign w:val="center"/>
            <w:hideMark/>
          </w:tcPr>
          <w:p w14:paraId="6A3569E9"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30</w:t>
            </w:r>
          </w:p>
        </w:tc>
        <w:tc>
          <w:tcPr>
            <w:tcW w:w="1016" w:type="dxa"/>
            <w:tcBorders>
              <w:top w:val="single" w:sz="4" w:space="0" w:color="auto"/>
              <w:left w:val="single" w:sz="4" w:space="0" w:color="auto"/>
              <w:bottom w:val="double" w:sz="4" w:space="0" w:color="auto"/>
              <w:right w:val="single" w:sz="4" w:space="0" w:color="auto"/>
            </w:tcBorders>
            <w:vAlign w:val="center"/>
            <w:hideMark/>
          </w:tcPr>
          <w:p w14:paraId="1E2CF03B"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60</w:t>
            </w:r>
          </w:p>
        </w:tc>
        <w:tc>
          <w:tcPr>
            <w:tcW w:w="1015" w:type="dxa"/>
            <w:tcBorders>
              <w:top w:val="single" w:sz="4" w:space="0" w:color="auto"/>
              <w:left w:val="single" w:sz="4" w:space="0" w:color="auto"/>
              <w:bottom w:val="double" w:sz="4" w:space="0" w:color="auto"/>
              <w:right w:val="single" w:sz="4" w:space="0" w:color="auto"/>
            </w:tcBorders>
            <w:vAlign w:val="center"/>
            <w:hideMark/>
          </w:tcPr>
          <w:p w14:paraId="3D08C014"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120</w:t>
            </w:r>
          </w:p>
        </w:tc>
        <w:tc>
          <w:tcPr>
            <w:tcW w:w="1016" w:type="dxa"/>
            <w:tcBorders>
              <w:top w:val="single" w:sz="4" w:space="0" w:color="auto"/>
              <w:left w:val="single" w:sz="4" w:space="0" w:color="auto"/>
              <w:bottom w:val="double" w:sz="4" w:space="0" w:color="auto"/>
              <w:right w:val="single" w:sz="4" w:space="0" w:color="auto"/>
            </w:tcBorders>
            <w:vAlign w:val="center"/>
            <w:hideMark/>
          </w:tcPr>
          <w:p w14:paraId="13BDA565"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240</w:t>
            </w:r>
          </w:p>
        </w:tc>
        <w:tc>
          <w:tcPr>
            <w:tcW w:w="1016" w:type="dxa"/>
            <w:tcBorders>
              <w:top w:val="single" w:sz="4" w:space="0" w:color="auto"/>
              <w:left w:val="single" w:sz="4" w:space="0" w:color="auto"/>
              <w:bottom w:val="double" w:sz="4" w:space="0" w:color="auto"/>
              <w:right w:val="single" w:sz="4" w:space="0" w:color="auto"/>
            </w:tcBorders>
            <w:vAlign w:val="center"/>
            <w:hideMark/>
          </w:tcPr>
          <w:p w14:paraId="6D7EDD45"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480</w:t>
            </w:r>
          </w:p>
        </w:tc>
        <w:tc>
          <w:tcPr>
            <w:tcW w:w="1016" w:type="dxa"/>
            <w:tcBorders>
              <w:top w:val="single" w:sz="4" w:space="0" w:color="auto"/>
              <w:left w:val="single" w:sz="4" w:space="0" w:color="auto"/>
              <w:bottom w:val="double" w:sz="4" w:space="0" w:color="auto"/>
              <w:right w:val="single" w:sz="4" w:space="0" w:color="auto"/>
            </w:tcBorders>
            <w:vAlign w:val="center"/>
            <w:hideMark/>
          </w:tcPr>
          <w:p w14:paraId="36FB8825"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960</w:t>
            </w:r>
          </w:p>
        </w:tc>
      </w:tr>
      <w:tr w:rsidR="006D0BAA" w:rsidRPr="000E4B12" w14:paraId="12986EFF" w14:textId="77777777" w:rsidTr="004F69A1">
        <w:trPr>
          <w:trHeight w:val="52"/>
        </w:trPr>
        <w:tc>
          <w:tcPr>
            <w:tcW w:w="1530" w:type="dxa"/>
            <w:tcBorders>
              <w:top w:val="double" w:sz="4" w:space="0" w:color="auto"/>
              <w:left w:val="single" w:sz="4" w:space="0" w:color="auto"/>
              <w:bottom w:val="nil"/>
              <w:right w:val="double" w:sz="4" w:space="0" w:color="auto"/>
            </w:tcBorders>
            <w:vAlign w:val="center"/>
            <w:hideMark/>
          </w:tcPr>
          <w:p w14:paraId="7EA50320" w14:textId="77777777" w:rsidR="006D0BAA" w:rsidRPr="000E4B12" w:rsidRDefault="00B04ED4" w:rsidP="00D36827">
            <w:pPr>
              <w:spacing w:before="40" w:after="40"/>
              <w:jc w:val="center"/>
              <w:rPr>
                <w:rFonts w:ascii="Arial" w:hAnsi="Arial"/>
                <w:lang w:eastAsia="zh-CN"/>
              </w:rPr>
            </w:pPr>
            <m:oMathPara>
              <m:oMath>
                <m:sSubSup>
                  <m:sSubSupPr>
                    <m:ctrlPr>
                      <w:rPr>
                        <w:rFonts w:ascii="Cambria Math" w:hAnsi="Cambria Math"/>
                        <w:i/>
                        <w:iCs/>
                        <w:lang w:eastAsia="zh-CN"/>
                      </w:rPr>
                    </m:ctrlPr>
                  </m:sSubSupPr>
                  <m:e>
                    <m:r>
                      <w:rPr>
                        <w:rFonts w:ascii="Cambria Math" w:hAnsi="Cambria Math"/>
                        <w:lang w:eastAsia="zh-CN"/>
                      </w:rPr>
                      <m:t>N</m:t>
                    </m:r>
                  </m:e>
                  <m:sub>
                    <m:r>
                      <m:rPr>
                        <m:sty m:val="p"/>
                      </m:rPr>
                      <w:rPr>
                        <w:rFonts w:ascii="Cambria Math" w:hAnsi="Cambria Math"/>
                        <w:lang w:eastAsia="zh-CN"/>
                      </w:rPr>
                      <m:t>BD</m:t>
                    </m:r>
                  </m:sub>
                  <m:sup>
                    <m:r>
                      <m:rPr>
                        <m:sty m:val="p"/>
                      </m:rPr>
                      <w:rPr>
                        <w:rFonts w:ascii="Cambria Math" w:hAnsi="Cambria Math"/>
                        <w:lang w:eastAsia="zh-CN"/>
                      </w:rPr>
                      <m:t>slot</m:t>
                    </m:r>
                  </m:sup>
                </m:sSubSup>
              </m:oMath>
            </m:oMathPara>
          </w:p>
        </w:tc>
        <w:tc>
          <w:tcPr>
            <w:tcW w:w="1015" w:type="dxa"/>
            <w:tcBorders>
              <w:top w:val="double" w:sz="4" w:space="0" w:color="auto"/>
              <w:left w:val="double" w:sz="4" w:space="0" w:color="auto"/>
              <w:bottom w:val="single" w:sz="4" w:space="0" w:color="auto"/>
              <w:right w:val="single" w:sz="4" w:space="0" w:color="auto"/>
            </w:tcBorders>
            <w:vAlign w:val="bottom"/>
            <w:hideMark/>
          </w:tcPr>
          <w:p w14:paraId="1B75CD8D" w14:textId="77777777" w:rsidR="006D0BAA" w:rsidRPr="000E4B12" w:rsidRDefault="006D0BAA" w:rsidP="00D36827">
            <w:pPr>
              <w:spacing w:before="40" w:after="40"/>
              <w:jc w:val="center"/>
              <w:rPr>
                <w:rFonts w:ascii="Arial" w:hAnsi="Arial"/>
                <w:b/>
                <w:bCs/>
                <w:lang w:val="en-GB" w:eastAsia="zh-CN"/>
              </w:rPr>
            </w:pPr>
            <w:r w:rsidRPr="000E4B12">
              <w:rPr>
                <w:rFonts w:ascii="Arial" w:hAnsi="Arial"/>
                <w:b/>
                <w:bCs/>
                <w:lang w:val="en-GB" w:eastAsia="zh-CN"/>
              </w:rPr>
              <w:t>44</w:t>
            </w:r>
          </w:p>
        </w:tc>
        <w:tc>
          <w:tcPr>
            <w:tcW w:w="1016" w:type="dxa"/>
            <w:tcBorders>
              <w:top w:val="double" w:sz="4" w:space="0" w:color="auto"/>
              <w:left w:val="single" w:sz="4" w:space="0" w:color="auto"/>
              <w:bottom w:val="single" w:sz="4" w:space="0" w:color="auto"/>
              <w:right w:val="single" w:sz="4" w:space="0" w:color="auto"/>
            </w:tcBorders>
            <w:vAlign w:val="bottom"/>
            <w:hideMark/>
          </w:tcPr>
          <w:p w14:paraId="115B557E" w14:textId="77777777" w:rsidR="006D0BAA" w:rsidRPr="000E4B12" w:rsidRDefault="006D0BAA" w:rsidP="00D36827">
            <w:pPr>
              <w:spacing w:before="40" w:after="40"/>
              <w:jc w:val="center"/>
              <w:rPr>
                <w:rFonts w:ascii="Arial" w:hAnsi="Arial"/>
                <w:b/>
                <w:bCs/>
                <w:lang w:val="en-GB" w:eastAsia="zh-CN"/>
              </w:rPr>
            </w:pPr>
            <w:r w:rsidRPr="000E4B12">
              <w:rPr>
                <w:rFonts w:ascii="Arial" w:hAnsi="Arial"/>
                <w:b/>
                <w:bCs/>
                <w:lang w:val="en-GB" w:eastAsia="zh-CN"/>
              </w:rPr>
              <w:t>36</w:t>
            </w:r>
          </w:p>
        </w:tc>
        <w:tc>
          <w:tcPr>
            <w:tcW w:w="1016" w:type="dxa"/>
            <w:tcBorders>
              <w:top w:val="double" w:sz="4" w:space="0" w:color="auto"/>
              <w:left w:val="single" w:sz="4" w:space="0" w:color="auto"/>
              <w:bottom w:val="single" w:sz="4" w:space="0" w:color="auto"/>
              <w:right w:val="single" w:sz="4" w:space="0" w:color="auto"/>
            </w:tcBorders>
            <w:vAlign w:val="bottom"/>
            <w:hideMark/>
          </w:tcPr>
          <w:p w14:paraId="77EB903F" w14:textId="77777777" w:rsidR="006D0BAA" w:rsidRPr="000E4B12" w:rsidRDefault="006D0BAA" w:rsidP="00D36827">
            <w:pPr>
              <w:spacing w:before="40" w:after="40"/>
              <w:jc w:val="center"/>
              <w:rPr>
                <w:rFonts w:ascii="Arial" w:hAnsi="Arial"/>
                <w:b/>
                <w:bCs/>
                <w:lang w:val="en-GB" w:eastAsia="zh-CN"/>
              </w:rPr>
            </w:pPr>
            <w:r w:rsidRPr="000E4B12">
              <w:rPr>
                <w:rFonts w:ascii="Arial" w:hAnsi="Arial"/>
                <w:b/>
                <w:bCs/>
                <w:lang w:val="en-GB" w:eastAsia="zh-CN"/>
              </w:rPr>
              <w:t>22</w:t>
            </w:r>
          </w:p>
        </w:tc>
        <w:tc>
          <w:tcPr>
            <w:tcW w:w="1015" w:type="dxa"/>
            <w:tcBorders>
              <w:top w:val="double" w:sz="4" w:space="0" w:color="auto"/>
              <w:left w:val="single" w:sz="4" w:space="0" w:color="auto"/>
              <w:bottom w:val="single" w:sz="4" w:space="0" w:color="auto"/>
              <w:right w:val="single" w:sz="4" w:space="0" w:color="auto"/>
            </w:tcBorders>
            <w:vAlign w:val="bottom"/>
            <w:hideMark/>
          </w:tcPr>
          <w:p w14:paraId="2309BA0C" w14:textId="77777777" w:rsidR="006D0BAA" w:rsidRPr="000E4B12" w:rsidRDefault="006D0BAA" w:rsidP="00D36827">
            <w:pPr>
              <w:spacing w:before="40" w:after="40"/>
              <w:jc w:val="center"/>
              <w:rPr>
                <w:rFonts w:ascii="Arial" w:hAnsi="Arial"/>
                <w:b/>
                <w:bCs/>
                <w:lang w:val="en-GB" w:eastAsia="zh-CN"/>
              </w:rPr>
            </w:pPr>
            <w:r w:rsidRPr="000E4B12">
              <w:rPr>
                <w:rFonts w:ascii="Arial" w:hAnsi="Arial"/>
                <w:b/>
                <w:bCs/>
                <w:lang w:val="en-GB" w:eastAsia="zh-CN"/>
              </w:rPr>
              <w:t>20</w:t>
            </w:r>
          </w:p>
        </w:tc>
        <w:tc>
          <w:tcPr>
            <w:tcW w:w="1016" w:type="dxa"/>
            <w:tcBorders>
              <w:top w:val="double" w:sz="4" w:space="0" w:color="auto"/>
              <w:left w:val="single" w:sz="4" w:space="0" w:color="auto"/>
              <w:bottom w:val="single" w:sz="4" w:space="0" w:color="auto"/>
              <w:right w:val="single" w:sz="4" w:space="0" w:color="auto"/>
            </w:tcBorders>
            <w:vAlign w:val="bottom"/>
            <w:hideMark/>
          </w:tcPr>
          <w:p w14:paraId="47332D42" w14:textId="77777777" w:rsidR="006D0BAA" w:rsidRPr="000E4B12" w:rsidRDefault="006D0BAA" w:rsidP="00D36827">
            <w:pPr>
              <w:rPr>
                <w:b/>
                <w:bCs/>
                <w:lang w:val="en-GB"/>
              </w:rPr>
            </w:pPr>
          </w:p>
        </w:tc>
        <w:tc>
          <w:tcPr>
            <w:tcW w:w="1016" w:type="dxa"/>
            <w:tcBorders>
              <w:top w:val="double" w:sz="4" w:space="0" w:color="auto"/>
              <w:left w:val="single" w:sz="4" w:space="0" w:color="auto"/>
              <w:bottom w:val="single" w:sz="4" w:space="0" w:color="auto"/>
              <w:right w:val="single" w:sz="4" w:space="0" w:color="auto"/>
            </w:tcBorders>
            <w:vAlign w:val="bottom"/>
            <w:hideMark/>
          </w:tcPr>
          <w:p w14:paraId="115C2115" w14:textId="77777777" w:rsidR="006D0BAA" w:rsidRPr="000E4B12" w:rsidRDefault="006D0BAA" w:rsidP="00D36827">
            <w:pPr>
              <w:rPr>
                <w:rFonts w:ascii="Calibri" w:eastAsia="Calibri" w:hAnsi="Calibri" w:cs="Arial"/>
              </w:rPr>
            </w:pPr>
          </w:p>
        </w:tc>
        <w:tc>
          <w:tcPr>
            <w:tcW w:w="1016" w:type="dxa"/>
            <w:tcBorders>
              <w:top w:val="double" w:sz="4" w:space="0" w:color="auto"/>
              <w:left w:val="single" w:sz="4" w:space="0" w:color="auto"/>
              <w:bottom w:val="single" w:sz="4" w:space="0" w:color="auto"/>
              <w:right w:val="single" w:sz="4" w:space="0" w:color="auto"/>
            </w:tcBorders>
            <w:vAlign w:val="bottom"/>
            <w:hideMark/>
          </w:tcPr>
          <w:p w14:paraId="166DEFE2" w14:textId="77777777" w:rsidR="006D0BAA" w:rsidRPr="000E4B12" w:rsidRDefault="006D0BAA" w:rsidP="00D36827">
            <w:pPr>
              <w:rPr>
                <w:rFonts w:ascii="Calibri" w:eastAsia="Calibri" w:hAnsi="Calibri" w:cs="Arial"/>
              </w:rPr>
            </w:pPr>
          </w:p>
        </w:tc>
      </w:tr>
      <w:tr w:rsidR="006D0BAA" w:rsidRPr="000E4B12" w14:paraId="6F3FA739" w14:textId="77777777" w:rsidTr="004F69A1">
        <w:trPr>
          <w:trHeight w:val="52"/>
        </w:trPr>
        <w:tc>
          <w:tcPr>
            <w:tcW w:w="1530" w:type="dxa"/>
            <w:tcBorders>
              <w:top w:val="nil"/>
              <w:left w:val="single" w:sz="4" w:space="0" w:color="auto"/>
              <w:bottom w:val="single" w:sz="4" w:space="0" w:color="auto"/>
              <w:right w:val="double" w:sz="4" w:space="0" w:color="auto"/>
            </w:tcBorders>
            <w:vAlign w:val="center"/>
            <w:hideMark/>
          </w:tcPr>
          <w:p w14:paraId="7CE6E175" w14:textId="77777777" w:rsidR="006D0BAA" w:rsidRPr="000E4B12" w:rsidRDefault="006D0BAA" w:rsidP="00D36827">
            <w:pPr>
              <w:spacing w:before="40" w:after="40"/>
              <w:jc w:val="center"/>
              <w:rPr>
                <w:rFonts w:ascii="Arial" w:hAnsi="Arial"/>
                <w:lang w:eastAsia="zh-CN"/>
              </w:rPr>
            </w:pPr>
            <w:r w:rsidRPr="000E4B12">
              <w:rPr>
                <w:rFonts w:ascii="Arial" w:hAnsi="Arial"/>
                <w:lang w:eastAsia="zh-CN"/>
              </w:rPr>
              <w:t>Estimate</w:t>
            </w:r>
          </w:p>
        </w:tc>
        <w:tc>
          <w:tcPr>
            <w:tcW w:w="1015" w:type="dxa"/>
            <w:tcBorders>
              <w:top w:val="single" w:sz="4" w:space="0" w:color="auto"/>
              <w:left w:val="double" w:sz="4" w:space="0" w:color="auto"/>
              <w:bottom w:val="single" w:sz="4" w:space="0" w:color="auto"/>
              <w:right w:val="single" w:sz="4" w:space="0" w:color="auto"/>
            </w:tcBorders>
            <w:vAlign w:val="bottom"/>
            <w:hideMark/>
          </w:tcPr>
          <w:p w14:paraId="406447E1"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44</w:t>
            </w:r>
          </w:p>
        </w:tc>
        <w:tc>
          <w:tcPr>
            <w:tcW w:w="1016" w:type="dxa"/>
            <w:tcBorders>
              <w:top w:val="single" w:sz="4" w:space="0" w:color="auto"/>
              <w:left w:val="single" w:sz="4" w:space="0" w:color="auto"/>
              <w:bottom w:val="single" w:sz="4" w:space="0" w:color="auto"/>
              <w:right w:val="single" w:sz="4" w:space="0" w:color="auto"/>
            </w:tcBorders>
            <w:vAlign w:val="bottom"/>
            <w:hideMark/>
          </w:tcPr>
          <w:p w14:paraId="62265EAC"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34</w:t>
            </w:r>
          </w:p>
        </w:tc>
        <w:tc>
          <w:tcPr>
            <w:tcW w:w="1016" w:type="dxa"/>
            <w:tcBorders>
              <w:top w:val="single" w:sz="4" w:space="0" w:color="auto"/>
              <w:left w:val="single" w:sz="4" w:space="0" w:color="auto"/>
              <w:bottom w:val="single" w:sz="4" w:space="0" w:color="auto"/>
              <w:right w:val="single" w:sz="4" w:space="0" w:color="auto"/>
            </w:tcBorders>
            <w:vAlign w:val="bottom"/>
            <w:hideMark/>
          </w:tcPr>
          <w:p w14:paraId="750AE7D0"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26</w:t>
            </w:r>
          </w:p>
        </w:tc>
        <w:tc>
          <w:tcPr>
            <w:tcW w:w="1015" w:type="dxa"/>
            <w:tcBorders>
              <w:top w:val="single" w:sz="4" w:space="0" w:color="auto"/>
              <w:left w:val="single" w:sz="4" w:space="0" w:color="auto"/>
              <w:bottom w:val="single" w:sz="4" w:space="0" w:color="auto"/>
              <w:right w:val="single" w:sz="4" w:space="0" w:color="auto"/>
            </w:tcBorders>
            <w:vAlign w:val="bottom"/>
            <w:hideMark/>
          </w:tcPr>
          <w:p w14:paraId="3E6C1604"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20</w:t>
            </w:r>
          </w:p>
        </w:tc>
        <w:tc>
          <w:tcPr>
            <w:tcW w:w="1016" w:type="dxa"/>
            <w:tcBorders>
              <w:top w:val="single" w:sz="4" w:space="0" w:color="auto"/>
              <w:left w:val="single" w:sz="4" w:space="0" w:color="auto"/>
              <w:bottom w:val="single" w:sz="4" w:space="0" w:color="auto"/>
              <w:right w:val="single" w:sz="4" w:space="0" w:color="auto"/>
            </w:tcBorders>
            <w:vAlign w:val="bottom"/>
            <w:hideMark/>
          </w:tcPr>
          <w:p w14:paraId="5395703E"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15</w:t>
            </w:r>
          </w:p>
        </w:tc>
        <w:tc>
          <w:tcPr>
            <w:tcW w:w="1016" w:type="dxa"/>
            <w:tcBorders>
              <w:top w:val="single" w:sz="4" w:space="0" w:color="auto"/>
              <w:left w:val="single" w:sz="4" w:space="0" w:color="auto"/>
              <w:bottom w:val="single" w:sz="4" w:space="0" w:color="auto"/>
              <w:right w:val="single" w:sz="4" w:space="0" w:color="auto"/>
            </w:tcBorders>
            <w:vAlign w:val="bottom"/>
            <w:hideMark/>
          </w:tcPr>
          <w:p w14:paraId="26FFDDBB"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12</w:t>
            </w:r>
          </w:p>
        </w:tc>
        <w:tc>
          <w:tcPr>
            <w:tcW w:w="1016" w:type="dxa"/>
            <w:tcBorders>
              <w:top w:val="single" w:sz="4" w:space="0" w:color="auto"/>
              <w:left w:val="single" w:sz="4" w:space="0" w:color="auto"/>
              <w:bottom w:val="single" w:sz="4" w:space="0" w:color="auto"/>
              <w:right w:val="single" w:sz="4" w:space="0" w:color="auto"/>
            </w:tcBorders>
            <w:vAlign w:val="bottom"/>
            <w:hideMark/>
          </w:tcPr>
          <w:p w14:paraId="40EA154B"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9</w:t>
            </w:r>
          </w:p>
        </w:tc>
      </w:tr>
      <w:tr w:rsidR="006D0BAA" w:rsidRPr="000E4B12" w14:paraId="76EFFD86" w14:textId="77777777" w:rsidTr="00D36827">
        <w:trPr>
          <w:trHeight w:val="52"/>
        </w:trPr>
        <w:tc>
          <w:tcPr>
            <w:tcW w:w="1530" w:type="dxa"/>
            <w:vAlign w:val="center"/>
          </w:tcPr>
          <w:p w14:paraId="77FF32C2" w14:textId="77777777" w:rsidR="006D0BAA" w:rsidRPr="000E4B12" w:rsidRDefault="006D0BAA" w:rsidP="00D36827">
            <w:pPr>
              <w:spacing w:before="40" w:after="40"/>
              <w:jc w:val="center"/>
              <w:rPr>
                <w:rFonts w:ascii="Arial" w:hAnsi="Arial"/>
                <w:sz w:val="4"/>
                <w:szCs w:val="4"/>
                <w:lang w:eastAsia="zh-CN"/>
              </w:rPr>
            </w:pPr>
          </w:p>
        </w:tc>
        <w:tc>
          <w:tcPr>
            <w:tcW w:w="1015" w:type="dxa"/>
            <w:vAlign w:val="bottom"/>
          </w:tcPr>
          <w:p w14:paraId="144B42D3" w14:textId="77777777" w:rsidR="006D0BAA" w:rsidRPr="000E4B12" w:rsidRDefault="006D0BAA" w:rsidP="00D36827">
            <w:pPr>
              <w:spacing w:before="40" w:after="40"/>
              <w:jc w:val="center"/>
              <w:rPr>
                <w:rFonts w:ascii="Arial" w:hAnsi="Arial"/>
                <w:sz w:val="4"/>
                <w:szCs w:val="4"/>
                <w:lang w:val="en-GB" w:eastAsia="zh-CN"/>
              </w:rPr>
            </w:pPr>
          </w:p>
        </w:tc>
        <w:tc>
          <w:tcPr>
            <w:tcW w:w="1016" w:type="dxa"/>
            <w:vAlign w:val="bottom"/>
          </w:tcPr>
          <w:p w14:paraId="264F665B" w14:textId="77777777" w:rsidR="006D0BAA" w:rsidRPr="000E4B12" w:rsidRDefault="006D0BAA" w:rsidP="00D36827">
            <w:pPr>
              <w:spacing w:before="40" w:after="40"/>
              <w:jc w:val="center"/>
              <w:rPr>
                <w:rFonts w:ascii="Arial" w:hAnsi="Arial"/>
                <w:sz w:val="4"/>
                <w:szCs w:val="4"/>
                <w:lang w:val="en-GB" w:eastAsia="zh-CN"/>
              </w:rPr>
            </w:pPr>
          </w:p>
        </w:tc>
        <w:tc>
          <w:tcPr>
            <w:tcW w:w="1016" w:type="dxa"/>
            <w:vAlign w:val="bottom"/>
          </w:tcPr>
          <w:p w14:paraId="4F167265" w14:textId="77777777" w:rsidR="006D0BAA" w:rsidRPr="000E4B12" w:rsidRDefault="006D0BAA" w:rsidP="00D36827">
            <w:pPr>
              <w:spacing w:before="40" w:after="40"/>
              <w:jc w:val="center"/>
              <w:rPr>
                <w:rFonts w:ascii="Arial" w:hAnsi="Arial"/>
                <w:sz w:val="4"/>
                <w:szCs w:val="4"/>
                <w:lang w:val="en-GB" w:eastAsia="zh-CN"/>
              </w:rPr>
            </w:pPr>
          </w:p>
        </w:tc>
        <w:tc>
          <w:tcPr>
            <w:tcW w:w="1015" w:type="dxa"/>
            <w:vAlign w:val="bottom"/>
          </w:tcPr>
          <w:p w14:paraId="2B2F7585" w14:textId="77777777" w:rsidR="006D0BAA" w:rsidRPr="000E4B12" w:rsidRDefault="006D0BAA" w:rsidP="00D36827">
            <w:pPr>
              <w:spacing w:before="40" w:after="40"/>
              <w:jc w:val="center"/>
              <w:rPr>
                <w:rFonts w:ascii="Arial" w:hAnsi="Arial"/>
                <w:sz w:val="4"/>
                <w:szCs w:val="4"/>
                <w:lang w:val="en-GB" w:eastAsia="zh-CN"/>
              </w:rPr>
            </w:pPr>
          </w:p>
        </w:tc>
        <w:tc>
          <w:tcPr>
            <w:tcW w:w="1016" w:type="dxa"/>
            <w:vAlign w:val="bottom"/>
          </w:tcPr>
          <w:p w14:paraId="56BC2736" w14:textId="77777777" w:rsidR="006D0BAA" w:rsidRPr="000E4B12" w:rsidRDefault="006D0BAA" w:rsidP="00D36827">
            <w:pPr>
              <w:spacing w:before="40" w:after="40"/>
              <w:jc w:val="center"/>
              <w:rPr>
                <w:rFonts w:ascii="Arial" w:hAnsi="Arial"/>
                <w:sz w:val="4"/>
                <w:szCs w:val="4"/>
                <w:lang w:val="en-GB" w:eastAsia="zh-CN"/>
              </w:rPr>
            </w:pPr>
          </w:p>
        </w:tc>
        <w:tc>
          <w:tcPr>
            <w:tcW w:w="1016" w:type="dxa"/>
            <w:vAlign w:val="bottom"/>
          </w:tcPr>
          <w:p w14:paraId="0B392FCB" w14:textId="77777777" w:rsidR="006D0BAA" w:rsidRPr="000E4B12" w:rsidRDefault="006D0BAA" w:rsidP="00D36827">
            <w:pPr>
              <w:spacing w:before="40" w:after="40"/>
              <w:jc w:val="center"/>
              <w:rPr>
                <w:rFonts w:ascii="Arial" w:hAnsi="Arial"/>
                <w:sz w:val="4"/>
                <w:szCs w:val="4"/>
                <w:lang w:val="en-GB" w:eastAsia="zh-CN"/>
              </w:rPr>
            </w:pPr>
          </w:p>
        </w:tc>
        <w:tc>
          <w:tcPr>
            <w:tcW w:w="1016" w:type="dxa"/>
            <w:vAlign w:val="bottom"/>
          </w:tcPr>
          <w:p w14:paraId="2BEB24D0" w14:textId="77777777" w:rsidR="006D0BAA" w:rsidRPr="000E4B12" w:rsidRDefault="006D0BAA" w:rsidP="00D36827">
            <w:pPr>
              <w:spacing w:before="40" w:after="40"/>
              <w:jc w:val="center"/>
              <w:rPr>
                <w:rFonts w:ascii="Arial" w:hAnsi="Arial"/>
                <w:sz w:val="4"/>
                <w:szCs w:val="4"/>
                <w:lang w:val="en-GB" w:eastAsia="zh-CN"/>
              </w:rPr>
            </w:pPr>
          </w:p>
        </w:tc>
      </w:tr>
      <w:tr w:rsidR="006D0BAA" w:rsidRPr="000E4B12" w14:paraId="75DA7C9F" w14:textId="77777777" w:rsidTr="00D36827">
        <w:trPr>
          <w:trHeight w:val="52"/>
        </w:trPr>
        <w:tc>
          <w:tcPr>
            <w:tcW w:w="1530" w:type="dxa"/>
            <w:tcBorders>
              <w:top w:val="single" w:sz="4" w:space="0" w:color="auto"/>
              <w:left w:val="single" w:sz="4" w:space="0" w:color="auto"/>
              <w:bottom w:val="double" w:sz="4" w:space="0" w:color="auto"/>
              <w:right w:val="double" w:sz="4" w:space="0" w:color="auto"/>
            </w:tcBorders>
            <w:vAlign w:val="center"/>
            <w:hideMark/>
          </w:tcPr>
          <w:p w14:paraId="6FDE0632" w14:textId="77777777" w:rsidR="006D0BAA" w:rsidRPr="000E4B12" w:rsidRDefault="006D0BAA" w:rsidP="00D36827">
            <w:pPr>
              <w:spacing w:before="40" w:after="40"/>
              <w:jc w:val="center"/>
              <w:rPr>
                <w:rFonts w:ascii="Arial" w:hAnsi="Arial"/>
                <w:lang w:eastAsia="zh-CN"/>
              </w:rPr>
            </w:pPr>
            <w:r w:rsidRPr="000E4B12">
              <w:rPr>
                <w:rFonts w:ascii="Arial" w:hAnsi="Arial"/>
                <w:lang w:eastAsia="zh-CN"/>
              </w:rPr>
              <w:t>SCS [kHz]</w:t>
            </w:r>
          </w:p>
        </w:tc>
        <w:tc>
          <w:tcPr>
            <w:tcW w:w="2031" w:type="dxa"/>
            <w:gridSpan w:val="2"/>
            <w:tcBorders>
              <w:top w:val="single" w:sz="4" w:space="0" w:color="auto"/>
              <w:left w:val="double" w:sz="4" w:space="0" w:color="auto"/>
              <w:bottom w:val="double" w:sz="4" w:space="0" w:color="auto"/>
              <w:right w:val="single" w:sz="4" w:space="0" w:color="auto"/>
            </w:tcBorders>
            <w:vAlign w:val="center"/>
            <w:hideMark/>
          </w:tcPr>
          <w:p w14:paraId="33A0AA92"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15*2</w:t>
            </w:r>
            <w:r w:rsidRPr="000E4B12">
              <w:rPr>
                <w:rFonts w:ascii="Arial" w:hAnsi="Arial"/>
                <w:vertAlign w:val="superscript"/>
                <w:lang w:val="en-GB" w:eastAsia="zh-CN"/>
              </w:rPr>
              <w:t>0.5</w:t>
            </w:r>
          </w:p>
        </w:tc>
        <w:tc>
          <w:tcPr>
            <w:tcW w:w="1016" w:type="dxa"/>
            <w:tcBorders>
              <w:top w:val="single" w:sz="4" w:space="0" w:color="auto"/>
              <w:left w:val="single" w:sz="4" w:space="0" w:color="auto"/>
              <w:bottom w:val="double" w:sz="4" w:space="0" w:color="auto"/>
              <w:right w:val="single" w:sz="4" w:space="0" w:color="auto"/>
            </w:tcBorders>
            <w:vAlign w:val="center"/>
            <w:hideMark/>
          </w:tcPr>
          <w:p w14:paraId="35BC6700"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60</w:t>
            </w:r>
          </w:p>
        </w:tc>
        <w:tc>
          <w:tcPr>
            <w:tcW w:w="1015" w:type="dxa"/>
            <w:tcBorders>
              <w:top w:val="single" w:sz="4" w:space="0" w:color="auto"/>
              <w:left w:val="single" w:sz="4" w:space="0" w:color="auto"/>
              <w:bottom w:val="double" w:sz="4" w:space="0" w:color="auto"/>
              <w:right w:val="single" w:sz="4" w:space="0" w:color="auto"/>
            </w:tcBorders>
            <w:vAlign w:val="center"/>
            <w:hideMark/>
          </w:tcPr>
          <w:p w14:paraId="17C83B2D"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120</w:t>
            </w:r>
          </w:p>
        </w:tc>
        <w:tc>
          <w:tcPr>
            <w:tcW w:w="1016" w:type="dxa"/>
            <w:tcBorders>
              <w:top w:val="single" w:sz="4" w:space="0" w:color="auto"/>
              <w:left w:val="single" w:sz="4" w:space="0" w:color="auto"/>
              <w:bottom w:val="double" w:sz="4" w:space="0" w:color="auto"/>
              <w:right w:val="single" w:sz="4" w:space="0" w:color="auto"/>
            </w:tcBorders>
            <w:vAlign w:val="center"/>
            <w:hideMark/>
          </w:tcPr>
          <w:p w14:paraId="7792EE75"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240</w:t>
            </w:r>
          </w:p>
        </w:tc>
        <w:tc>
          <w:tcPr>
            <w:tcW w:w="1016" w:type="dxa"/>
            <w:tcBorders>
              <w:top w:val="single" w:sz="4" w:space="0" w:color="auto"/>
              <w:left w:val="single" w:sz="4" w:space="0" w:color="auto"/>
              <w:bottom w:val="double" w:sz="4" w:space="0" w:color="auto"/>
              <w:right w:val="single" w:sz="4" w:space="0" w:color="auto"/>
            </w:tcBorders>
            <w:vAlign w:val="center"/>
            <w:hideMark/>
          </w:tcPr>
          <w:p w14:paraId="5AD2F8C9"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480</w:t>
            </w:r>
          </w:p>
        </w:tc>
        <w:tc>
          <w:tcPr>
            <w:tcW w:w="1016" w:type="dxa"/>
            <w:tcBorders>
              <w:top w:val="single" w:sz="4" w:space="0" w:color="auto"/>
              <w:left w:val="single" w:sz="4" w:space="0" w:color="auto"/>
              <w:bottom w:val="double" w:sz="4" w:space="0" w:color="auto"/>
              <w:right w:val="single" w:sz="4" w:space="0" w:color="auto"/>
            </w:tcBorders>
            <w:vAlign w:val="center"/>
            <w:hideMark/>
          </w:tcPr>
          <w:p w14:paraId="6A9F21A4"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960</w:t>
            </w:r>
          </w:p>
        </w:tc>
      </w:tr>
      <w:tr w:rsidR="006D0BAA" w:rsidRPr="000E4B12" w14:paraId="4234AE87" w14:textId="77777777" w:rsidTr="00D36827">
        <w:trPr>
          <w:trHeight w:val="52"/>
        </w:trPr>
        <w:tc>
          <w:tcPr>
            <w:tcW w:w="1530" w:type="dxa"/>
            <w:tcBorders>
              <w:top w:val="single" w:sz="4" w:space="0" w:color="auto"/>
              <w:left w:val="single" w:sz="4" w:space="0" w:color="auto"/>
              <w:bottom w:val="single" w:sz="4" w:space="0" w:color="auto"/>
              <w:right w:val="double" w:sz="4" w:space="0" w:color="auto"/>
            </w:tcBorders>
            <w:vAlign w:val="center"/>
            <w:hideMark/>
          </w:tcPr>
          <w:p w14:paraId="59EBDD1E" w14:textId="77777777" w:rsidR="006D0BAA" w:rsidRPr="000E4B12" w:rsidRDefault="00B04ED4" w:rsidP="00D36827">
            <w:pPr>
              <w:spacing w:before="40" w:after="40"/>
              <w:jc w:val="center"/>
              <w:rPr>
                <w:rFonts w:ascii="Arial" w:hAnsi="Arial"/>
                <w:lang w:val="de-DE" w:eastAsia="zh-CN"/>
              </w:rPr>
            </w:pPr>
            <m:oMathPara>
              <m:oMath>
                <m:sSubSup>
                  <m:sSubSupPr>
                    <m:ctrlPr>
                      <w:rPr>
                        <w:rFonts w:ascii="Cambria Math" w:hAnsi="Cambria Math"/>
                        <w:i/>
                        <w:iCs/>
                        <w:lang w:eastAsia="zh-CN"/>
                      </w:rPr>
                    </m:ctrlPr>
                  </m:sSubSupPr>
                  <m:e>
                    <m:r>
                      <w:rPr>
                        <w:rFonts w:ascii="Cambria Math" w:hAnsi="Cambria Math"/>
                        <w:lang w:val="de-DE" w:eastAsia="zh-CN"/>
                      </w:rPr>
                      <m:t>N</m:t>
                    </m:r>
                  </m:e>
                  <m:sub>
                    <m:r>
                      <m:rPr>
                        <m:sty m:val="p"/>
                      </m:rPr>
                      <w:rPr>
                        <w:rFonts w:ascii="Cambria Math" w:hAnsi="Cambria Math"/>
                        <w:lang w:val="de-DE" w:eastAsia="zh-CN"/>
                      </w:rPr>
                      <m:t>CCE</m:t>
                    </m:r>
                  </m:sub>
                  <m:sup>
                    <m:r>
                      <m:rPr>
                        <m:sty m:val="p"/>
                      </m:rPr>
                      <w:rPr>
                        <w:rFonts w:ascii="Cambria Math" w:hAnsi="Cambria Math"/>
                        <w:lang w:val="de-DE" w:eastAsia="zh-CN"/>
                      </w:rPr>
                      <m:t>slot</m:t>
                    </m:r>
                  </m:sup>
                </m:sSubSup>
              </m:oMath>
            </m:oMathPara>
          </w:p>
        </w:tc>
        <w:tc>
          <w:tcPr>
            <w:tcW w:w="2031" w:type="dxa"/>
            <w:gridSpan w:val="2"/>
            <w:tcBorders>
              <w:top w:val="single" w:sz="4" w:space="0" w:color="auto"/>
              <w:left w:val="double" w:sz="4" w:space="0" w:color="auto"/>
              <w:bottom w:val="single" w:sz="4" w:space="0" w:color="auto"/>
              <w:right w:val="single" w:sz="4" w:space="0" w:color="auto"/>
            </w:tcBorders>
            <w:vAlign w:val="center"/>
            <w:hideMark/>
          </w:tcPr>
          <w:p w14:paraId="488E9D64" w14:textId="77777777" w:rsidR="006D0BAA" w:rsidRPr="000E4B12" w:rsidRDefault="006D0BAA" w:rsidP="00D36827">
            <w:pPr>
              <w:spacing w:before="40" w:after="40"/>
              <w:jc w:val="center"/>
              <w:rPr>
                <w:rFonts w:ascii="Arial" w:hAnsi="Arial"/>
                <w:b/>
                <w:bCs/>
                <w:lang w:val="en-GB" w:eastAsia="zh-CN"/>
              </w:rPr>
            </w:pPr>
            <w:r w:rsidRPr="000E4B12">
              <w:rPr>
                <w:rFonts w:ascii="Arial" w:hAnsi="Arial"/>
                <w:b/>
                <w:bCs/>
                <w:lang w:val="en-GB" w:eastAsia="zh-CN"/>
              </w:rPr>
              <w:t>56</w:t>
            </w:r>
          </w:p>
        </w:tc>
        <w:tc>
          <w:tcPr>
            <w:tcW w:w="1016" w:type="dxa"/>
            <w:tcBorders>
              <w:top w:val="single" w:sz="4" w:space="0" w:color="auto"/>
              <w:left w:val="single" w:sz="4" w:space="0" w:color="auto"/>
              <w:bottom w:val="single" w:sz="4" w:space="0" w:color="auto"/>
              <w:right w:val="single" w:sz="4" w:space="0" w:color="auto"/>
            </w:tcBorders>
            <w:vAlign w:val="bottom"/>
            <w:hideMark/>
          </w:tcPr>
          <w:p w14:paraId="2238E8D6" w14:textId="77777777" w:rsidR="006D0BAA" w:rsidRPr="000E4B12" w:rsidRDefault="006D0BAA" w:rsidP="00D36827">
            <w:pPr>
              <w:spacing w:before="40" w:after="40"/>
              <w:jc w:val="center"/>
              <w:rPr>
                <w:rFonts w:ascii="Arial" w:hAnsi="Arial"/>
                <w:b/>
                <w:bCs/>
                <w:lang w:val="en-GB" w:eastAsia="zh-CN"/>
              </w:rPr>
            </w:pPr>
            <w:r w:rsidRPr="000E4B12">
              <w:rPr>
                <w:rFonts w:ascii="Arial" w:hAnsi="Arial"/>
                <w:b/>
                <w:bCs/>
                <w:lang w:val="en-GB" w:eastAsia="zh-CN"/>
              </w:rPr>
              <w:t>48</w:t>
            </w:r>
          </w:p>
        </w:tc>
        <w:tc>
          <w:tcPr>
            <w:tcW w:w="1015" w:type="dxa"/>
            <w:tcBorders>
              <w:top w:val="single" w:sz="4" w:space="0" w:color="auto"/>
              <w:left w:val="single" w:sz="4" w:space="0" w:color="auto"/>
              <w:bottom w:val="single" w:sz="4" w:space="0" w:color="auto"/>
              <w:right w:val="single" w:sz="4" w:space="0" w:color="auto"/>
            </w:tcBorders>
            <w:vAlign w:val="bottom"/>
            <w:hideMark/>
          </w:tcPr>
          <w:p w14:paraId="7C49159B" w14:textId="77777777" w:rsidR="006D0BAA" w:rsidRPr="000E4B12" w:rsidRDefault="006D0BAA" w:rsidP="00D36827">
            <w:pPr>
              <w:spacing w:before="40" w:after="40"/>
              <w:jc w:val="center"/>
              <w:rPr>
                <w:rFonts w:ascii="Arial" w:hAnsi="Arial"/>
                <w:b/>
                <w:bCs/>
                <w:lang w:val="en-GB" w:eastAsia="zh-CN"/>
              </w:rPr>
            </w:pPr>
            <w:r w:rsidRPr="000E4B12">
              <w:rPr>
                <w:rFonts w:ascii="Arial" w:hAnsi="Arial"/>
                <w:b/>
                <w:bCs/>
                <w:lang w:val="en-GB" w:eastAsia="zh-CN"/>
              </w:rPr>
              <w:t>32</w:t>
            </w:r>
          </w:p>
        </w:tc>
        <w:tc>
          <w:tcPr>
            <w:tcW w:w="1016" w:type="dxa"/>
            <w:tcBorders>
              <w:top w:val="single" w:sz="4" w:space="0" w:color="auto"/>
              <w:left w:val="single" w:sz="4" w:space="0" w:color="auto"/>
              <w:bottom w:val="single" w:sz="4" w:space="0" w:color="auto"/>
              <w:right w:val="single" w:sz="4" w:space="0" w:color="auto"/>
            </w:tcBorders>
            <w:vAlign w:val="bottom"/>
          </w:tcPr>
          <w:p w14:paraId="1ACEE089" w14:textId="77777777" w:rsidR="006D0BAA" w:rsidRPr="000E4B12" w:rsidRDefault="006D0BAA" w:rsidP="00D36827">
            <w:pPr>
              <w:spacing w:before="40" w:after="40"/>
              <w:jc w:val="center"/>
              <w:rPr>
                <w:rFonts w:ascii="Arial" w:hAnsi="Arial"/>
                <w:lang w:val="en-GB" w:eastAsia="zh-CN"/>
              </w:rPr>
            </w:pPr>
          </w:p>
        </w:tc>
        <w:tc>
          <w:tcPr>
            <w:tcW w:w="1016" w:type="dxa"/>
            <w:tcBorders>
              <w:top w:val="single" w:sz="4" w:space="0" w:color="auto"/>
              <w:left w:val="single" w:sz="4" w:space="0" w:color="auto"/>
              <w:bottom w:val="single" w:sz="4" w:space="0" w:color="auto"/>
              <w:right w:val="single" w:sz="4" w:space="0" w:color="auto"/>
            </w:tcBorders>
            <w:vAlign w:val="bottom"/>
          </w:tcPr>
          <w:p w14:paraId="0D8899C0" w14:textId="77777777" w:rsidR="006D0BAA" w:rsidRPr="000E4B12" w:rsidRDefault="006D0BAA" w:rsidP="00D36827">
            <w:pPr>
              <w:spacing w:before="40" w:after="40"/>
              <w:jc w:val="center"/>
              <w:rPr>
                <w:rFonts w:ascii="Arial" w:hAnsi="Arial"/>
                <w:lang w:val="en-GB" w:eastAsia="zh-CN"/>
              </w:rPr>
            </w:pPr>
          </w:p>
        </w:tc>
        <w:tc>
          <w:tcPr>
            <w:tcW w:w="1016" w:type="dxa"/>
            <w:tcBorders>
              <w:top w:val="single" w:sz="4" w:space="0" w:color="auto"/>
              <w:left w:val="single" w:sz="4" w:space="0" w:color="auto"/>
              <w:bottom w:val="single" w:sz="4" w:space="0" w:color="auto"/>
              <w:right w:val="single" w:sz="4" w:space="0" w:color="auto"/>
            </w:tcBorders>
            <w:vAlign w:val="bottom"/>
          </w:tcPr>
          <w:p w14:paraId="4C7F1425" w14:textId="77777777" w:rsidR="006D0BAA" w:rsidRPr="000E4B12" w:rsidRDefault="006D0BAA" w:rsidP="00D36827">
            <w:pPr>
              <w:spacing w:before="40" w:after="40"/>
              <w:jc w:val="center"/>
              <w:rPr>
                <w:rFonts w:ascii="Arial" w:hAnsi="Arial"/>
                <w:lang w:val="en-GB" w:eastAsia="zh-CN"/>
              </w:rPr>
            </w:pPr>
          </w:p>
        </w:tc>
      </w:tr>
      <w:tr w:rsidR="006D0BAA" w:rsidRPr="000E4B12" w14:paraId="03D31377" w14:textId="77777777" w:rsidTr="00D36827">
        <w:trPr>
          <w:trHeight w:val="52"/>
        </w:trPr>
        <w:tc>
          <w:tcPr>
            <w:tcW w:w="1530" w:type="dxa"/>
            <w:tcBorders>
              <w:top w:val="single" w:sz="4" w:space="0" w:color="auto"/>
              <w:left w:val="single" w:sz="4" w:space="0" w:color="auto"/>
              <w:bottom w:val="single" w:sz="4" w:space="0" w:color="auto"/>
              <w:right w:val="double" w:sz="4" w:space="0" w:color="auto"/>
            </w:tcBorders>
            <w:vAlign w:val="center"/>
            <w:hideMark/>
          </w:tcPr>
          <w:p w14:paraId="7A1837C6" w14:textId="77777777" w:rsidR="006D0BAA" w:rsidRPr="000E4B12" w:rsidRDefault="006D0BAA" w:rsidP="00D36827">
            <w:pPr>
              <w:spacing w:before="40" w:after="40"/>
              <w:jc w:val="center"/>
              <w:rPr>
                <w:rFonts w:ascii="Arial" w:hAnsi="Arial"/>
                <w:i/>
                <w:color w:val="000000"/>
                <w:lang w:val="en-GB" w:eastAsia="zh-CN"/>
              </w:rPr>
            </w:pPr>
            <w:r w:rsidRPr="000E4B12">
              <w:rPr>
                <w:rFonts w:ascii="Arial" w:hAnsi="Arial"/>
                <w:lang w:eastAsia="zh-CN"/>
              </w:rPr>
              <w:t>Estimate</w:t>
            </w:r>
          </w:p>
        </w:tc>
        <w:tc>
          <w:tcPr>
            <w:tcW w:w="2031" w:type="dxa"/>
            <w:gridSpan w:val="2"/>
            <w:tcBorders>
              <w:top w:val="single" w:sz="4" w:space="0" w:color="auto"/>
              <w:left w:val="double" w:sz="4" w:space="0" w:color="auto"/>
              <w:bottom w:val="single" w:sz="4" w:space="0" w:color="auto"/>
              <w:right w:val="single" w:sz="4" w:space="0" w:color="auto"/>
            </w:tcBorders>
            <w:vAlign w:val="bottom"/>
            <w:hideMark/>
          </w:tcPr>
          <w:p w14:paraId="0E2092C1"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56</w:t>
            </w:r>
          </w:p>
        </w:tc>
        <w:tc>
          <w:tcPr>
            <w:tcW w:w="1016" w:type="dxa"/>
            <w:tcBorders>
              <w:top w:val="single" w:sz="4" w:space="0" w:color="auto"/>
              <w:left w:val="single" w:sz="4" w:space="0" w:color="auto"/>
              <w:bottom w:val="single" w:sz="4" w:space="0" w:color="auto"/>
              <w:right w:val="single" w:sz="4" w:space="0" w:color="auto"/>
            </w:tcBorders>
            <w:vAlign w:val="bottom"/>
            <w:hideMark/>
          </w:tcPr>
          <w:p w14:paraId="12AAB847"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40</w:t>
            </w:r>
          </w:p>
        </w:tc>
        <w:tc>
          <w:tcPr>
            <w:tcW w:w="1015" w:type="dxa"/>
            <w:tcBorders>
              <w:top w:val="single" w:sz="4" w:space="0" w:color="auto"/>
              <w:left w:val="single" w:sz="4" w:space="0" w:color="auto"/>
              <w:bottom w:val="single" w:sz="4" w:space="0" w:color="auto"/>
              <w:right w:val="single" w:sz="4" w:space="0" w:color="auto"/>
            </w:tcBorders>
            <w:vAlign w:val="bottom"/>
            <w:hideMark/>
          </w:tcPr>
          <w:p w14:paraId="3A6C3E2E"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32</w:t>
            </w:r>
          </w:p>
        </w:tc>
        <w:tc>
          <w:tcPr>
            <w:tcW w:w="1016" w:type="dxa"/>
            <w:tcBorders>
              <w:top w:val="single" w:sz="4" w:space="0" w:color="auto"/>
              <w:left w:val="single" w:sz="4" w:space="0" w:color="auto"/>
              <w:bottom w:val="single" w:sz="4" w:space="0" w:color="auto"/>
              <w:right w:val="single" w:sz="4" w:space="0" w:color="auto"/>
            </w:tcBorders>
            <w:vAlign w:val="bottom"/>
            <w:hideMark/>
          </w:tcPr>
          <w:p w14:paraId="659A4200"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26</w:t>
            </w:r>
          </w:p>
        </w:tc>
        <w:tc>
          <w:tcPr>
            <w:tcW w:w="1016" w:type="dxa"/>
            <w:tcBorders>
              <w:top w:val="single" w:sz="4" w:space="0" w:color="auto"/>
              <w:left w:val="single" w:sz="4" w:space="0" w:color="auto"/>
              <w:bottom w:val="single" w:sz="4" w:space="0" w:color="auto"/>
              <w:right w:val="single" w:sz="4" w:space="0" w:color="auto"/>
            </w:tcBorders>
            <w:vAlign w:val="bottom"/>
            <w:hideMark/>
          </w:tcPr>
          <w:p w14:paraId="69E2EB4A"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20</w:t>
            </w:r>
          </w:p>
        </w:tc>
        <w:tc>
          <w:tcPr>
            <w:tcW w:w="1016" w:type="dxa"/>
            <w:tcBorders>
              <w:top w:val="single" w:sz="4" w:space="0" w:color="auto"/>
              <w:left w:val="single" w:sz="4" w:space="0" w:color="auto"/>
              <w:bottom w:val="single" w:sz="4" w:space="0" w:color="auto"/>
              <w:right w:val="single" w:sz="4" w:space="0" w:color="auto"/>
            </w:tcBorders>
            <w:vAlign w:val="bottom"/>
            <w:hideMark/>
          </w:tcPr>
          <w:p w14:paraId="4169684C" w14:textId="77777777" w:rsidR="006D0BAA" w:rsidRPr="000E4B12" w:rsidRDefault="006D0BAA" w:rsidP="00D36827">
            <w:pPr>
              <w:spacing w:before="40" w:after="40"/>
              <w:jc w:val="center"/>
              <w:rPr>
                <w:rFonts w:ascii="Arial" w:hAnsi="Arial"/>
                <w:lang w:val="en-GB" w:eastAsia="zh-CN"/>
              </w:rPr>
            </w:pPr>
            <w:r w:rsidRPr="000E4B12">
              <w:rPr>
                <w:rFonts w:ascii="Arial" w:hAnsi="Arial"/>
                <w:lang w:val="en-GB" w:eastAsia="zh-CN"/>
              </w:rPr>
              <w:t>16</w:t>
            </w:r>
          </w:p>
        </w:tc>
      </w:tr>
    </w:tbl>
    <w:p w14:paraId="539E6644" w14:textId="77777777" w:rsidR="006D0BAA" w:rsidRPr="000E4B12" w:rsidRDefault="006D0BAA" w:rsidP="006D0BAA">
      <w:pPr>
        <w:spacing w:after="120"/>
        <w:rPr>
          <w:rFonts w:ascii="Arial" w:hAnsi="Arial"/>
          <w:lang w:eastAsia="zh-CN"/>
        </w:rPr>
      </w:pPr>
    </w:p>
    <w:p w14:paraId="1015C4C4" w14:textId="572E9D43" w:rsidR="006D0BAA" w:rsidRPr="000E4B12" w:rsidRDefault="00FC644F" w:rsidP="004F69A1">
      <w:pPr>
        <w:pStyle w:val="BodyText"/>
      </w:pPr>
      <w:r>
        <w:lastRenderedPageBreak/>
        <w:t xml:space="preserve">The potential reduction of </w:t>
      </w:r>
      <w:r w:rsidRPr="000E4B12">
        <w:t xml:space="preserve">UE PDCCH processing capabilities </w:t>
      </w:r>
      <w:r w:rsidRPr="004F69A1">
        <w:rPr>
          <w:u w:val="single"/>
        </w:rPr>
        <w:t>per slot</w:t>
      </w:r>
      <w:r>
        <w:t xml:space="preserve"> shown in the above presents </w:t>
      </w:r>
      <w:r w:rsidR="00B3463D">
        <w:t xml:space="preserve">difficulties to maintain the same </w:t>
      </w:r>
      <w:r w:rsidR="009D344C">
        <w:t>scheduling framework and flexibility as Rel-15 NR</w:t>
      </w:r>
      <w:r w:rsidR="00B42284">
        <w:t xml:space="preserve">. It would </w:t>
      </w:r>
      <w:r w:rsidR="003F725E">
        <w:t>im</w:t>
      </w:r>
      <w:r w:rsidR="00007AB6">
        <w:t xml:space="preserve">pose substantial negative </w:t>
      </w:r>
      <w:r w:rsidR="00AC1FC4">
        <w:t xml:space="preserve">impacts to Rel-17 NR operation in 52.6 – 71 GHz </w:t>
      </w:r>
      <w:r w:rsidR="00A56E38">
        <w:t xml:space="preserve">if the </w:t>
      </w:r>
      <w:r w:rsidR="0075770A" w:rsidRPr="000E4B12">
        <w:t xml:space="preserve">UE PDCCH processing capabilities </w:t>
      </w:r>
      <w:r w:rsidR="0075770A" w:rsidRPr="00D7654C">
        <w:rPr>
          <w:u w:val="single"/>
        </w:rPr>
        <w:t xml:space="preserve">per </w:t>
      </w:r>
      <w:r w:rsidR="0075770A">
        <w:rPr>
          <w:u w:val="single"/>
        </w:rPr>
        <w:t>multi</w:t>
      </w:r>
      <w:r w:rsidR="00773B25">
        <w:rPr>
          <w:u w:val="single"/>
        </w:rPr>
        <w:t>-</w:t>
      </w:r>
      <w:r w:rsidR="0075770A" w:rsidRPr="00D7654C">
        <w:rPr>
          <w:u w:val="single"/>
        </w:rPr>
        <w:t>slot</w:t>
      </w:r>
      <w:r w:rsidR="00773B25">
        <w:rPr>
          <w:u w:val="single"/>
        </w:rPr>
        <w:t xml:space="preserve"> </w:t>
      </w:r>
      <w:r w:rsidR="00773B25" w:rsidRPr="004F69A1">
        <w:t xml:space="preserve">monitoring </w:t>
      </w:r>
      <w:r w:rsidR="005F6E73" w:rsidRPr="004F69A1">
        <w:t>period</w:t>
      </w:r>
      <w:r w:rsidR="0075770A" w:rsidRPr="004F69A1">
        <w:t xml:space="preserve"> </w:t>
      </w:r>
      <w:r w:rsidR="000355E1">
        <w:t>remain as restrictive</w:t>
      </w:r>
      <w:r w:rsidR="00074C9F">
        <w:t xml:space="preserve"> when the UE </w:t>
      </w:r>
      <w:r w:rsidR="002576CC">
        <w:t xml:space="preserve">is configured to monitor the PDCCH every </w:t>
      </w:r>
      <m:oMath>
        <m:r>
          <w:rPr>
            <w:rFonts w:ascii="Cambria Math" w:hAnsi="Cambria Math"/>
          </w:rPr>
          <m:t>B</m:t>
        </m:r>
      </m:oMath>
      <w:r w:rsidR="00FA6E00">
        <w:t xml:space="preserve"> slots</w:t>
      </w:r>
      <w:r w:rsidR="009F13E0">
        <w:t xml:space="preserve">. </w:t>
      </w:r>
      <w:r w:rsidR="00455FAE">
        <w:t xml:space="preserve">Therefore, </w:t>
      </w:r>
      <w:r w:rsidR="008E0948">
        <w:t xml:space="preserve">it will be beneficial to NR operation in 52.6 – 71 GHz </w:t>
      </w:r>
      <w:r w:rsidR="00BF57BC">
        <w:t xml:space="preserve">to </w:t>
      </w:r>
      <w:r w:rsidR="008C67D8">
        <w:t xml:space="preserve">scale </w:t>
      </w:r>
      <w:r w:rsidR="008C67D8" w:rsidRPr="000E4B12">
        <w:t>UE PDCCH processing capabilities</w:t>
      </w:r>
      <w:r w:rsidR="00BA1037">
        <w:t xml:space="preserve"> </w:t>
      </w:r>
      <w:r w:rsidR="00BA1037" w:rsidRPr="004F69A1">
        <w:t xml:space="preserve">per multi-slot </w:t>
      </w:r>
      <w:r w:rsidR="00BA1037" w:rsidRPr="00D7654C">
        <w:t>monitoring period</w:t>
      </w:r>
      <w:r w:rsidR="00BA1037">
        <w:t xml:space="preserve"> </w:t>
      </w:r>
      <w:r w:rsidR="00C359F3">
        <w:t xml:space="preserve">with the size of the </w:t>
      </w:r>
      <w:r w:rsidR="00A55AC1">
        <w:t>monitoring period:</w:t>
      </w:r>
    </w:p>
    <w:p w14:paraId="2E2A58AA" w14:textId="77777777" w:rsidR="006D0BAA" w:rsidRPr="000E4B12" w:rsidRDefault="00B04ED4" w:rsidP="004F69A1">
      <w:pPr>
        <w:pStyle w:val="BodyText"/>
      </w:pPr>
      <m:oMathPara>
        <m:oMathParaPr>
          <m:jc m:val="centerGroup"/>
        </m:oMathParaPr>
        <m:oMath>
          <m:sSubSup>
            <m:sSubSupPr>
              <m:ctrlPr>
                <w:rPr>
                  <w:rFonts w:ascii="Cambria Math" w:hAnsi="Cambria Math"/>
                </w:rPr>
              </m:ctrlPr>
            </m:sSubSupPr>
            <m:e>
              <m:r>
                <w:rPr>
                  <w:rFonts w:ascii="Cambria Math" w:hAnsi="Cambria Math"/>
                </w:rPr>
                <m:t>N</m:t>
              </m:r>
            </m:e>
            <m:sub>
              <m:r>
                <m:rPr>
                  <m:sty m:val="p"/>
                </m:rPr>
                <w:rPr>
                  <w:rFonts w:ascii="Cambria Math" w:hAnsi="Cambria Math"/>
                </w:rPr>
                <m:t>BD</m:t>
              </m:r>
            </m:sub>
            <m:sup>
              <m:r>
                <m:rPr>
                  <m:sty m:val="p"/>
                </m:rPr>
                <w:rPr>
                  <w:rFonts w:ascii="Cambria Math" w:hAnsi="Cambria Math"/>
                </w:rPr>
                <m:t>multislot</m:t>
              </m:r>
            </m:sup>
          </m:sSubSup>
          <m:r>
            <w:rPr>
              <w:rFonts w:ascii="Cambria Math" w:hAnsi="Cambria Math"/>
            </w:rPr>
            <m:t>≅</m:t>
          </m:r>
          <m:r>
            <w:rPr>
              <w:rFonts w:ascii="Cambria Math" w:hAnsi="Cambria Math"/>
            </w:rPr>
            <m:t>B×</m:t>
          </m:r>
          <m:sSubSup>
            <m:sSubSupPr>
              <m:ctrlPr>
                <w:rPr>
                  <w:rFonts w:ascii="Cambria Math" w:hAnsi="Cambria Math"/>
                </w:rPr>
              </m:ctrlPr>
            </m:sSubSupPr>
            <m:e>
              <m:r>
                <w:rPr>
                  <w:rFonts w:ascii="Cambria Math" w:hAnsi="Cambria Math"/>
                </w:rPr>
                <m:t>N</m:t>
              </m:r>
            </m:e>
            <m:sub>
              <m:r>
                <m:rPr>
                  <m:sty m:val="p"/>
                </m:rPr>
                <w:rPr>
                  <w:rFonts w:ascii="Cambria Math" w:hAnsi="Cambria Math"/>
                </w:rPr>
                <m:t>BD</m:t>
              </m:r>
            </m:sub>
            <m:sup>
              <m:r>
                <m:rPr>
                  <m:sty m:val="p"/>
                </m:rPr>
                <w:rPr>
                  <w:rFonts w:ascii="Cambria Math" w:hAnsi="Cambria Math"/>
                </w:rPr>
                <m:t>slot</m:t>
              </m:r>
            </m:sup>
          </m:sSubSup>
        </m:oMath>
      </m:oMathPara>
    </w:p>
    <w:p w14:paraId="299833D9" w14:textId="77777777" w:rsidR="006D0BAA" w:rsidRPr="00B04ED4" w:rsidRDefault="00B04ED4" w:rsidP="004F69A1">
      <w:pPr>
        <w:pStyle w:val="BodyText"/>
      </w:pPr>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CCE</m:t>
              </m:r>
            </m:sub>
            <m:sup>
              <m:r>
                <m:rPr>
                  <m:sty m:val="p"/>
                </m:rPr>
                <w:rPr>
                  <w:rFonts w:ascii="Cambria Math" w:hAnsi="Cambria Math"/>
                </w:rPr>
                <m:t>multislot</m:t>
              </m:r>
            </m:sup>
          </m:sSubSup>
          <m:r>
            <m:rPr>
              <m:sty m:val="p"/>
            </m:rPr>
            <w:rPr>
              <w:rFonts w:ascii="Cambria Math" w:hAnsi="Cambria Math"/>
            </w:rPr>
            <m:t>≅</m:t>
          </m:r>
          <m:r>
            <w:rPr>
              <w:rFonts w:ascii="Cambria Math" w:hAnsi="Cambria Math"/>
            </w:rPr>
            <m:t>B</m:t>
          </m:r>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CCE</m:t>
              </m:r>
            </m:sub>
            <m:sup>
              <m:r>
                <m:rPr>
                  <m:sty m:val="p"/>
                </m:rPr>
                <w:rPr>
                  <w:rFonts w:ascii="Cambria Math" w:hAnsi="Cambria Math"/>
                </w:rPr>
                <m:t>slot</m:t>
              </m:r>
            </m:sup>
          </m:sSubSup>
        </m:oMath>
      </m:oMathPara>
    </w:p>
    <w:p w14:paraId="5889E989" w14:textId="5A8DCDE7" w:rsidR="00D97A14" w:rsidRDefault="00294929" w:rsidP="00294929">
      <w:pPr>
        <w:pStyle w:val="Proposal"/>
      </w:pPr>
      <w:bookmarkStart w:id="716" w:name="_Toc53776234"/>
      <w:r>
        <w:t xml:space="preserve">Capture the following observation in TR 38.808: For operation in 52.6 – 71 GHz, it is beneficial to support </w:t>
      </w:r>
      <w:r w:rsidR="00C021D6" w:rsidRPr="000E4B12">
        <w:t>UE PDCCH processing capabilities</w:t>
      </w:r>
      <w:r w:rsidR="00AB295C">
        <w:t xml:space="preserve"> </w:t>
      </w:r>
      <w:r w:rsidR="00C021D6" w:rsidRPr="004F69A1">
        <w:t xml:space="preserve">per multi-slot </w:t>
      </w:r>
      <w:r w:rsidR="00C021D6" w:rsidRPr="00D7654C">
        <w:t>monitoring period</w:t>
      </w:r>
      <w:r w:rsidR="00C021D6">
        <w:t xml:space="preserve"> that scale with </w:t>
      </w:r>
      <w:r w:rsidR="001B3CB6">
        <w:t>the size of the monitoring period</w:t>
      </w:r>
      <w:r w:rsidR="00D11D77">
        <w:t xml:space="preserve"> when the UE is configured </w:t>
      </w:r>
      <w:r w:rsidR="003D0037">
        <w:t xml:space="preserve">with </w:t>
      </w:r>
      <w:r w:rsidR="00D36827">
        <w:t xml:space="preserve">a </w:t>
      </w:r>
      <w:r w:rsidR="003D0037">
        <w:t>monitoring period larger than a slot</w:t>
      </w:r>
      <w:r w:rsidR="001B3CB6">
        <w:t>.</w:t>
      </w:r>
      <w:bookmarkEnd w:id="716"/>
    </w:p>
    <w:p w14:paraId="3BAC3A4B" w14:textId="77777777" w:rsidR="006D0BAA" w:rsidRPr="00BB4701" w:rsidRDefault="006D0BAA" w:rsidP="00540018">
      <w:pPr>
        <w:pStyle w:val="BodyText"/>
      </w:pPr>
    </w:p>
    <w:p w14:paraId="24B5E63F" w14:textId="62BA84BC" w:rsidR="0071115D" w:rsidRPr="00C81EDA" w:rsidRDefault="00E0459B" w:rsidP="0071115D">
      <w:pPr>
        <w:pStyle w:val="Heading3"/>
      </w:pPr>
      <w:bookmarkStart w:id="717" w:name="_Toc53775911"/>
      <w:r w:rsidRPr="00C81EDA">
        <w:t>4.</w:t>
      </w:r>
      <w:r w:rsidR="00A7546B">
        <w:t>4</w:t>
      </w:r>
      <w:r w:rsidR="0071115D" w:rsidRPr="00C81EDA">
        <w:t>.</w:t>
      </w:r>
      <w:r w:rsidR="0071115D">
        <w:t>2</w:t>
      </w:r>
      <w:r w:rsidR="0071115D" w:rsidRPr="00C81EDA">
        <w:tab/>
        <w:t>Frequency domain resource allocation aspects</w:t>
      </w:r>
      <w:bookmarkEnd w:id="717"/>
    </w:p>
    <w:p w14:paraId="714EB881" w14:textId="376EE061" w:rsidR="0071115D" w:rsidRPr="0048482F" w:rsidRDefault="0071115D" w:rsidP="0071115D">
      <w:pPr>
        <w:pStyle w:val="BodyText"/>
        <w:rPr>
          <w:i/>
          <w:color w:val="000000"/>
        </w:rPr>
      </w:pPr>
      <w:r>
        <w:t>Frequency resource allocation Type 0 and Type 1 are similarly supported for both downlink and uplink. When T</w:t>
      </w:r>
      <w:r w:rsidRPr="0048482F">
        <w:t xml:space="preserve">ype </w:t>
      </w:r>
      <w:r>
        <w:t>0</w:t>
      </w:r>
      <w:r w:rsidRPr="0048482F">
        <w:t xml:space="preserve"> resource allocation</w:t>
      </w:r>
      <w:r>
        <w:t xml:space="preserve"> is used, a </w:t>
      </w:r>
      <w:r w:rsidRPr="00184FCE">
        <w:t xml:space="preserve">bitmap indicates the Resource Block Groups (RBGs) that are allocated to the scheduled UE where a RBG is a set of consecutive virtual resource blocks defined by higher layer parameter </w:t>
      </w:r>
      <w:proofErr w:type="spellStart"/>
      <w:r w:rsidRPr="00184FCE">
        <w:t>rbg</w:t>
      </w:r>
      <w:proofErr w:type="spellEnd"/>
      <w:r w:rsidRPr="00184FCE">
        <w:t>-Size configured by P</w:t>
      </w:r>
      <w:r>
        <w:t>X</w:t>
      </w:r>
      <w:r w:rsidRPr="00184FCE">
        <w:t xml:space="preserve">SCH-Config and the size of the bandwidth part as defined in </w:t>
      </w:r>
      <w:r>
        <w:fldChar w:fldCharType="begin"/>
      </w:r>
      <w:r>
        <w:instrText xml:space="preserve"> REF _Ref46928520 \h </w:instrText>
      </w:r>
      <w:r>
        <w:fldChar w:fldCharType="separate"/>
      </w:r>
      <w:r w:rsidR="00BE31F7">
        <w:rPr>
          <w:b/>
          <w:bCs/>
        </w:rPr>
        <w:t>Error! Reference source not found.</w:t>
      </w:r>
      <w:r>
        <w:fldChar w:fldCharType="end"/>
      </w:r>
      <w:r>
        <w:t>.</w:t>
      </w:r>
    </w:p>
    <w:p w14:paraId="740920D9" w14:textId="70441E0C" w:rsidR="0071115D" w:rsidRDefault="0071115D" w:rsidP="0071115D">
      <w:pPr>
        <w:pStyle w:val="StyleCaptionCentered"/>
      </w:pPr>
      <w:r>
        <w:t xml:space="preserve">Table </w:t>
      </w:r>
      <w:r>
        <w:fldChar w:fldCharType="begin"/>
      </w:r>
      <w:r>
        <w:instrText>SEQ Table \* ARABIC</w:instrText>
      </w:r>
      <w:r>
        <w:fldChar w:fldCharType="separate"/>
      </w:r>
      <w:r w:rsidR="00BE31F7">
        <w:rPr>
          <w:noProof/>
        </w:rPr>
        <w:t>5</w:t>
      </w:r>
      <w:r>
        <w:fldChar w:fldCharType="end"/>
      </w:r>
      <w:r>
        <w:t xml:space="preserve">: </w:t>
      </w:r>
      <w:r w:rsidRPr="0040497C">
        <w:t>Nominal RBG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71115D" w:rsidRPr="0048482F" w14:paraId="0571397A" w14:textId="77777777" w:rsidTr="004F69A1">
        <w:trPr>
          <w:jc w:val="center"/>
        </w:trPr>
        <w:tc>
          <w:tcPr>
            <w:tcW w:w="2805" w:type="dxa"/>
            <w:shd w:val="clear" w:color="auto" w:fill="auto"/>
          </w:tcPr>
          <w:p w14:paraId="1D3E2BEE" w14:textId="77777777" w:rsidR="0071115D" w:rsidRPr="00E17FE7" w:rsidRDefault="0071115D" w:rsidP="007A4E33">
            <w:pPr>
              <w:pStyle w:val="TAH"/>
              <w:shd w:val="clear" w:color="auto" w:fill="E7E6E6" w:themeFill="background2"/>
              <w:rPr>
                <w:rFonts w:eastAsia="Batang"/>
                <w:color w:val="000000"/>
                <w:lang w:val="en-GB"/>
              </w:rPr>
            </w:pPr>
            <w:r w:rsidRPr="00E17FE7">
              <w:rPr>
                <w:rFonts w:eastAsia="Batang"/>
                <w:color w:val="000000"/>
                <w:lang w:val="en-GB"/>
              </w:rPr>
              <w:t>Bandwidth Part Size</w:t>
            </w:r>
          </w:p>
        </w:tc>
        <w:tc>
          <w:tcPr>
            <w:tcW w:w="2328" w:type="dxa"/>
            <w:shd w:val="clear" w:color="auto" w:fill="auto"/>
          </w:tcPr>
          <w:p w14:paraId="7528101E" w14:textId="77777777" w:rsidR="0071115D" w:rsidRPr="00E17FE7" w:rsidRDefault="0071115D" w:rsidP="007A4E33">
            <w:pPr>
              <w:pStyle w:val="TAH"/>
              <w:shd w:val="clear" w:color="auto" w:fill="E7E6E6" w:themeFill="background2"/>
              <w:rPr>
                <w:rFonts w:eastAsia="Batang"/>
                <w:color w:val="000000"/>
                <w:lang w:val="en-GB"/>
              </w:rPr>
            </w:pPr>
            <w:r w:rsidRPr="00E17FE7">
              <w:rPr>
                <w:rFonts w:eastAsia="Batang"/>
                <w:color w:val="000000"/>
                <w:lang w:val="en-GB"/>
              </w:rPr>
              <w:t>Configuration 1</w:t>
            </w:r>
          </w:p>
        </w:tc>
        <w:tc>
          <w:tcPr>
            <w:tcW w:w="2328" w:type="dxa"/>
            <w:shd w:val="clear" w:color="auto" w:fill="auto"/>
          </w:tcPr>
          <w:p w14:paraId="1CFF33C1" w14:textId="77777777" w:rsidR="0071115D" w:rsidRPr="00E17FE7" w:rsidRDefault="0071115D" w:rsidP="007A4E33">
            <w:pPr>
              <w:pStyle w:val="TAH"/>
              <w:shd w:val="clear" w:color="auto" w:fill="E7E6E6" w:themeFill="background2"/>
              <w:rPr>
                <w:rFonts w:eastAsia="Batang"/>
                <w:color w:val="000000"/>
                <w:lang w:val="en-GB"/>
              </w:rPr>
            </w:pPr>
            <w:r w:rsidRPr="00E17FE7">
              <w:rPr>
                <w:rFonts w:eastAsia="Batang"/>
                <w:color w:val="000000"/>
                <w:lang w:val="en-GB"/>
              </w:rPr>
              <w:t>Configuration 2</w:t>
            </w:r>
          </w:p>
        </w:tc>
      </w:tr>
      <w:tr w:rsidR="0071115D" w:rsidRPr="0048482F" w14:paraId="64EF91F6" w14:textId="77777777" w:rsidTr="004F69A1">
        <w:trPr>
          <w:jc w:val="center"/>
        </w:trPr>
        <w:tc>
          <w:tcPr>
            <w:tcW w:w="2805" w:type="dxa"/>
            <w:shd w:val="clear" w:color="auto" w:fill="auto"/>
          </w:tcPr>
          <w:p w14:paraId="63B69FEF" w14:textId="77777777" w:rsidR="0071115D" w:rsidRPr="00E17FE7" w:rsidRDefault="0071115D" w:rsidP="007A4E33">
            <w:pPr>
              <w:pStyle w:val="TAC"/>
              <w:shd w:val="clear" w:color="auto" w:fill="E7E6E6" w:themeFill="background2"/>
              <w:rPr>
                <w:rFonts w:eastAsia="Batang"/>
                <w:color w:val="000000"/>
                <w:lang w:val="en-GB"/>
              </w:rPr>
            </w:pPr>
            <w:r w:rsidRPr="00E17FE7">
              <w:rPr>
                <w:rFonts w:eastAsia="Batang"/>
                <w:color w:val="000000"/>
                <w:lang w:val="en-GB"/>
              </w:rPr>
              <w:t>1 – 36</w:t>
            </w:r>
          </w:p>
        </w:tc>
        <w:tc>
          <w:tcPr>
            <w:tcW w:w="2328" w:type="dxa"/>
            <w:shd w:val="clear" w:color="auto" w:fill="auto"/>
          </w:tcPr>
          <w:p w14:paraId="702290E0" w14:textId="77777777" w:rsidR="0071115D" w:rsidRPr="00E17FE7" w:rsidRDefault="0071115D" w:rsidP="007A4E33">
            <w:pPr>
              <w:pStyle w:val="TAC"/>
              <w:shd w:val="clear" w:color="auto" w:fill="E7E6E6" w:themeFill="background2"/>
              <w:rPr>
                <w:rFonts w:eastAsia="Batang"/>
                <w:color w:val="000000"/>
                <w:lang w:val="en-GB"/>
              </w:rPr>
            </w:pPr>
            <w:r w:rsidRPr="00E17FE7">
              <w:rPr>
                <w:color w:val="000000"/>
                <w:lang w:val="en-GB"/>
              </w:rPr>
              <w:t>2</w:t>
            </w:r>
          </w:p>
        </w:tc>
        <w:tc>
          <w:tcPr>
            <w:tcW w:w="2328" w:type="dxa"/>
            <w:shd w:val="clear" w:color="auto" w:fill="auto"/>
          </w:tcPr>
          <w:p w14:paraId="791CE7A5" w14:textId="77777777" w:rsidR="0071115D" w:rsidRPr="00E17FE7" w:rsidRDefault="0071115D" w:rsidP="007A4E33">
            <w:pPr>
              <w:pStyle w:val="TAC"/>
              <w:shd w:val="clear" w:color="auto" w:fill="E7E6E6" w:themeFill="background2"/>
              <w:rPr>
                <w:rFonts w:eastAsia="Batang"/>
                <w:color w:val="000000"/>
                <w:lang w:val="en-GB"/>
              </w:rPr>
            </w:pPr>
            <w:r w:rsidRPr="00E17FE7">
              <w:rPr>
                <w:color w:val="000000"/>
                <w:lang w:val="en-GB"/>
              </w:rPr>
              <w:t>4</w:t>
            </w:r>
          </w:p>
        </w:tc>
      </w:tr>
      <w:tr w:rsidR="0071115D" w:rsidRPr="0048482F" w14:paraId="0500F6A6" w14:textId="77777777" w:rsidTr="004F69A1">
        <w:trPr>
          <w:jc w:val="center"/>
        </w:trPr>
        <w:tc>
          <w:tcPr>
            <w:tcW w:w="2805" w:type="dxa"/>
            <w:shd w:val="clear" w:color="auto" w:fill="auto"/>
          </w:tcPr>
          <w:p w14:paraId="55BF6F4B" w14:textId="77777777" w:rsidR="0071115D" w:rsidRPr="00E17FE7" w:rsidRDefault="0071115D" w:rsidP="007A4E33">
            <w:pPr>
              <w:pStyle w:val="TAC"/>
              <w:shd w:val="clear" w:color="auto" w:fill="E7E6E6" w:themeFill="background2"/>
              <w:rPr>
                <w:rFonts w:eastAsia="Batang"/>
                <w:color w:val="000000"/>
                <w:lang w:val="en-GB"/>
              </w:rPr>
            </w:pPr>
            <w:r w:rsidRPr="00E17FE7">
              <w:rPr>
                <w:rFonts w:eastAsia="Batang"/>
                <w:color w:val="000000"/>
                <w:lang w:val="en-GB"/>
              </w:rPr>
              <w:t>37 – 72</w:t>
            </w:r>
          </w:p>
        </w:tc>
        <w:tc>
          <w:tcPr>
            <w:tcW w:w="2328" w:type="dxa"/>
            <w:shd w:val="clear" w:color="auto" w:fill="auto"/>
          </w:tcPr>
          <w:p w14:paraId="2C1D83C9" w14:textId="77777777" w:rsidR="0071115D" w:rsidRPr="00E17FE7" w:rsidRDefault="0071115D" w:rsidP="007A4E33">
            <w:pPr>
              <w:pStyle w:val="TAC"/>
              <w:shd w:val="clear" w:color="auto" w:fill="E7E6E6" w:themeFill="background2"/>
              <w:rPr>
                <w:rFonts w:eastAsia="Batang"/>
                <w:color w:val="000000"/>
                <w:lang w:val="en-GB"/>
              </w:rPr>
            </w:pPr>
            <w:r w:rsidRPr="00E17FE7">
              <w:rPr>
                <w:color w:val="000000"/>
                <w:lang w:val="en-GB"/>
              </w:rPr>
              <w:t>4</w:t>
            </w:r>
          </w:p>
        </w:tc>
        <w:tc>
          <w:tcPr>
            <w:tcW w:w="2328" w:type="dxa"/>
            <w:shd w:val="clear" w:color="auto" w:fill="auto"/>
          </w:tcPr>
          <w:p w14:paraId="0355934F" w14:textId="77777777" w:rsidR="0071115D" w:rsidRPr="00E17FE7" w:rsidRDefault="0071115D" w:rsidP="007A4E33">
            <w:pPr>
              <w:pStyle w:val="TAC"/>
              <w:shd w:val="clear" w:color="auto" w:fill="E7E6E6" w:themeFill="background2"/>
              <w:rPr>
                <w:rFonts w:eastAsia="Batang"/>
                <w:color w:val="000000"/>
                <w:lang w:val="en-GB"/>
              </w:rPr>
            </w:pPr>
            <w:r w:rsidRPr="00E17FE7">
              <w:rPr>
                <w:color w:val="000000"/>
                <w:lang w:val="en-GB"/>
              </w:rPr>
              <w:t>8</w:t>
            </w:r>
          </w:p>
        </w:tc>
      </w:tr>
      <w:tr w:rsidR="0071115D" w:rsidRPr="0048482F" w14:paraId="6F1FB95F" w14:textId="77777777" w:rsidTr="004F69A1">
        <w:trPr>
          <w:jc w:val="center"/>
        </w:trPr>
        <w:tc>
          <w:tcPr>
            <w:tcW w:w="2805" w:type="dxa"/>
            <w:shd w:val="clear" w:color="auto" w:fill="auto"/>
          </w:tcPr>
          <w:p w14:paraId="1102F395" w14:textId="77777777" w:rsidR="0071115D" w:rsidRPr="00E17FE7" w:rsidRDefault="0071115D" w:rsidP="007A4E33">
            <w:pPr>
              <w:pStyle w:val="TAC"/>
              <w:shd w:val="clear" w:color="auto" w:fill="E7E6E6" w:themeFill="background2"/>
              <w:rPr>
                <w:rFonts w:eastAsia="Batang"/>
                <w:color w:val="000000"/>
                <w:lang w:val="en-GB"/>
              </w:rPr>
            </w:pPr>
            <w:r w:rsidRPr="00E17FE7">
              <w:rPr>
                <w:rFonts w:eastAsia="Batang"/>
                <w:color w:val="000000"/>
                <w:lang w:val="en-GB"/>
              </w:rPr>
              <w:t>73 – 144</w:t>
            </w:r>
          </w:p>
        </w:tc>
        <w:tc>
          <w:tcPr>
            <w:tcW w:w="2328" w:type="dxa"/>
            <w:shd w:val="clear" w:color="auto" w:fill="auto"/>
          </w:tcPr>
          <w:p w14:paraId="3947543A" w14:textId="77777777" w:rsidR="0071115D" w:rsidRPr="00E17FE7" w:rsidRDefault="0071115D" w:rsidP="007A4E33">
            <w:pPr>
              <w:pStyle w:val="TAC"/>
              <w:shd w:val="clear" w:color="auto" w:fill="E7E6E6" w:themeFill="background2"/>
              <w:rPr>
                <w:rFonts w:eastAsia="Batang"/>
                <w:color w:val="000000"/>
                <w:lang w:val="en-GB"/>
              </w:rPr>
            </w:pPr>
            <w:r w:rsidRPr="00E17FE7">
              <w:rPr>
                <w:color w:val="000000"/>
                <w:lang w:val="en-GB"/>
              </w:rPr>
              <w:t>8</w:t>
            </w:r>
          </w:p>
        </w:tc>
        <w:tc>
          <w:tcPr>
            <w:tcW w:w="2328" w:type="dxa"/>
            <w:shd w:val="clear" w:color="auto" w:fill="auto"/>
          </w:tcPr>
          <w:p w14:paraId="0076F849" w14:textId="77777777" w:rsidR="0071115D" w:rsidRPr="00E17FE7" w:rsidRDefault="0071115D" w:rsidP="007A4E33">
            <w:pPr>
              <w:pStyle w:val="TAC"/>
              <w:shd w:val="clear" w:color="auto" w:fill="E7E6E6" w:themeFill="background2"/>
              <w:rPr>
                <w:rFonts w:eastAsia="Batang"/>
                <w:color w:val="000000"/>
                <w:lang w:val="en-GB"/>
              </w:rPr>
            </w:pPr>
            <w:r w:rsidRPr="00E17FE7">
              <w:rPr>
                <w:color w:val="000000"/>
                <w:lang w:val="en-GB"/>
              </w:rPr>
              <w:t>16</w:t>
            </w:r>
          </w:p>
        </w:tc>
      </w:tr>
      <w:tr w:rsidR="0071115D" w:rsidRPr="0048482F" w14:paraId="61E50E05" w14:textId="77777777" w:rsidTr="004F69A1">
        <w:trPr>
          <w:jc w:val="center"/>
        </w:trPr>
        <w:tc>
          <w:tcPr>
            <w:tcW w:w="2805" w:type="dxa"/>
            <w:shd w:val="clear" w:color="auto" w:fill="auto"/>
          </w:tcPr>
          <w:p w14:paraId="2F175BD6" w14:textId="77777777" w:rsidR="0071115D" w:rsidRPr="00E17FE7" w:rsidRDefault="0071115D" w:rsidP="007A4E33">
            <w:pPr>
              <w:pStyle w:val="TAC"/>
              <w:shd w:val="clear" w:color="auto" w:fill="E7E6E6" w:themeFill="background2"/>
              <w:rPr>
                <w:rFonts w:eastAsia="Batang"/>
                <w:color w:val="000000"/>
                <w:lang w:val="en-GB"/>
              </w:rPr>
            </w:pPr>
            <w:r w:rsidRPr="00E17FE7">
              <w:rPr>
                <w:rFonts w:eastAsia="Batang"/>
                <w:color w:val="000000"/>
                <w:lang w:val="en-GB"/>
              </w:rPr>
              <w:t>145 – 275</w:t>
            </w:r>
          </w:p>
        </w:tc>
        <w:tc>
          <w:tcPr>
            <w:tcW w:w="2328" w:type="dxa"/>
            <w:shd w:val="clear" w:color="auto" w:fill="auto"/>
          </w:tcPr>
          <w:p w14:paraId="2E2AFC88" w14:textId="77777777" w:rsidR="0071115D" w:rsidRPr="00E17FE7" w:rsidRDefault="0071115D" w:rsidP="007A4E33">
            <w:pPr>
              <w:pStyle w:val="TAC"/>
              <w:shd w:val="clear" w:color="auto" w:fill="E7E6E6" w:themeFill="background2"/>
              <w:rPr>
                <w:rFonts w:eastAsia="Batang"/>
                <w:color w:val="000000"/>
                <w:lang w:val="en-GB"/>
              </w:rPr>
            </w:pPr>
            <w:r w:rsidRPr="00E17FE7">
              <w:rPr>
                <w:color w:val="000000"/>
                <w:lang w:val="en-GB"/>
              </w:rPr>
              <w:t>16</w:t>
            </w:r>
          </w:p>
        </w:tc>
        <w:tc>
          <w:tcPr>
            <w:tcW w:w="2328" w:type="dxa"/>
            <w:shd w:val="clear" w:color="auto" w:fill="auto"/>
          </w:tcPr>
          <w:p w14:paraId="4226B470" w14:textId="77777777" w:rsidR="0071115D" w:rsidRPr="00E17FE7" w:rsidRDefault="0071115D" w:rsidP="007A4E33">
            <w:pPr>
              <w:pStyle w:val="TAC"/>
              <w:shd w:val="clear" w:color="auto" w:fill="E7E6E6" w:themeFill="background2"/>
              <w:rPr>
                <w:rFonts w:eastAsia="Batang"/>
                <w:color w:val="000000"/>
                <w:lang w:val="en-GB"/>
              </w:rPr>
            </w:pPr>
            <w:r w:rsidRPr="00E17FE7">
              <w:rPr>
                <w:color w:val="000000"/>
                <w:lang w:val="en-GB"/>
              </w:rPr>
              <w:t>16</w:t>
            </w:r>
          </w:p>
        </w:tc>
      </w:tr>
    </w:tbl>
    <w:p w14:paraId="2B57ADC9" w14:textId="77777777" w:rsidR="0071115D" w:rsidRDefault="0071115D" w:rsidP="0071115D">
      <w:pPr>
        <w:rPr>
          <w:color w:val="ED7D31" w:themeColor="accent2"/>
        </w:rPr>
      </w:pPr>
    </w:p>
    <w:p w14:paraId="5DB2B4EF" w14:textId="77777777" w:rsidR="0071115D" w:rsidRPr="00D04871" w:rsidRDefault="0071115D" w:rsidP="0071115D">
      <w:pPr>
        <w:pStyle w:val="BodyText"/>
      </w:pPr>
      <w:r>
        <w:t xml:space="preserve">When </w:t>
      </w:r>
      <w:r w:rsidRPr="0048482F">
        <w:t>downlink type 1 resource allocation</w:t>
      </w:r>
      <w:r>
        <w:t xml:space="preserve"> is used, the FDRA</w:t>
      </w:r>
      <w:r w:rsidRPr="0048482F">
        <w:t xml:space="preserve"> field consists of </w:t>
      </w:r>
      <w:r w:rsidRPr="00184FCE">
        <w:t xml:space="preserve">a resource indication value (RIV) corresponding to a starting resource block group </w:t>
      </w:r>
      <w:proofErr w:type="spellStart"/>
      <w:r w:rsidRPr="000849C8">
        <w:rPr>
          <w:i/>
          <w:iCs/>
          <w:color w:val="000000"/>
        </w:rPr>
        <w:t>RBG</w:t>
      </w:r>
      <w:r w:rsidRPr="000849C8">
        <w:rPr>
          <w:i/>
          <w:iCs/>
          <w:color w:val="000000"/>
          <w:vertAlign w:val="subscript"/>
        </w:rPr>
        <w:t>start</w:t>
      </w:r>
      <w:proofErr w:type="spellEnd"/>
      <w:r w:rsidRPr="000849C8">
        <w:rPr>
          <w:color w:val="000000"/>
        </w:rPr>
        <w:t>=0,</w:t>
      </w:r>
      <w:r>
        <w:rPr>
          <w:color w:val="000000"/>
        </w:rPr>
        <w:t xml:space="preserve"> </w:t>
      </w:r>
      <w:r w:rsidRPr="000849C8">
        <w:rPr>
          <w:color w:val="000000"/>
        </w:rPr>
        <w:t>1,</w:t>
      </w:r>
      <w:r>
        <w:rPr>
          <w:color w:val="000000"/>
        </w:rPr>
        <w:t xml:space="preserve"> </w:t>
      </w:r>
      <w:r w:rsidRPr="000849C8">
        <w:rPr>
          <w:color w:val="000000"/>
        </w:rPr>
        <w:t>…,</w:t>
      </w:r>
      <w:r>
        <w:rPr>
          <w:color w:val="000000"/>
        </w:rPr>
        <w:t xml:space="preserve"> </w:t>
      </w:r>
      <w:r w:rsidRPr="000849C8">
        <w:rPr>
          <w:i/>
          <w:iCs/>
          <w:color w:val="000000"/>
        </w:rPr>
        <w:t>N</w:t>
      </w:r>
      <w:r w:rsidRPr="000849C8">
        <w:rPr>
          <w:i/>
          <w:iCs/>
          <w:color w:val="000000"/>
          <w:vertAlign w:val="subscript"/>
        </w:rPr>
        <w:t>RBG</w:t>
      </w:r>
      <w:r w:rsidRPr="000849C8">
        <w:rPr>
          <w:color w:val="000000"/>
        </w:rPr>
        <w:t xml:space="preserve">-1 </w:t>
      </w:r>
      <w:r w:rsidRPr="00184FCE">
        <w:t xml:space="preserve">and a length in terms of virtually contiguously allocated resource block groups </w:t>
      </w:r>
      <w:r w:rsidRPr="000849C8">
        <w:rPr>
          <w:i/>
          <w:iCs/>
          <w:color w:val="000000"/>
        </w:rPr>
        <w:t>L</w:t>
      </w:r>
      <w:r w:rsidRPr="000849C8">
        <w:rPr>
          <w:i/>
          <w:iCs/>
          <w:color w:val="000000"/>
          <w:vertAlign w:val="subscript"/>
        </w:rPr>
        <w:t>RBGs</w:t>
      </w:r>
      <w:r w:rsidRPr="000849C8">
        <w:rPr>
          <w:color w:val="000000"/>
        </w:rPr>
        <w:t>=1,</w:t>
      </w:r>
      <w:r>
        <w:rPr>
          <w:color w:val="000000"/>
        </w:rPr>
        <w:t xml:space="preserve"> </w:t>
      </w:r>
      <w:r w:rsidRPr="000849C8">
        <w:rPr>
          <w:color w:val="000000"/>
        </w:rPr>
        <w:t>…,</w:t>
      </w:r>
      <w:r>
        <w:rPr>
          <w:color w:val="000000"/>
        </w:rPr>
        <w:t xml:space="preserve"> </w:t>
      </w:r>
      <w:r w:rsidRPr="000849C8">
        <w:rPr>
          <w:i/>
          <w:iCs/>
          <w:color w:val="000000"/>
        </w:rPr>
        <w:t>N</w:t>
      </w:r>
      <w:r w:rsidRPr="000849C8">
        <w:rPr>
          <w:i/>
          <w:iCs/>
          <w:color w:val="000000"/>
          <w:vertAlign w:val="subscript"/>
        </w:rPr>
        <w:t>RBG</w:t>
      </w:r>
      <w:r w:rsidRPr="00184FCE">
        <w:t xml:space="preserve">. </w:t>
      </w:r>
      <w:r>
        <w:t xml:space="preserve">Type 1 scheduling on RBG level was introduced in rel-16 for DCI 1_2 and DCI 0_2. However, the supported granularities are the same as for Type 0. </w:t>
      </w:r>
    </w:p>
    <w:p w14:paraId="2BD42884" w14:textId="77777777" w:rsidR="0071115D" w:rsidRDefault="0071115D" w:rsidP="0071115D">
      <w:pPr>
        <w:pStyle w:val="BodyText"/>
      </w:pPr>
      <w:r>
        <w:t>Assuming a channel bandwidth of 1.6 GHz with 480 kHz SCS, the FDRA bit field carried in the DL and UL DCI can be up to 16 bits,</w:t>
      </w:r>
      <w:r w:rsidDel="007E357F">
        <w:t xml:space="preserve"> </w:t>
      </w:r>
      <w:r>
        <w:t xml:space="preserve">which can negatively impact the coverage of NR operation in 52.6 to 71 GHz. Operation on such a large bandwidth, assumes quite good channel conditions and transmissions that are large in bandwidth. Also, given the high directivity of the transmission, frequency multiplexing of UE becomes less applicable. </w:t>
      </w:r>
      <w:r w:rsidRPr="00F94015">
        <w:t>Such fine scheduling granularity provided by configuration 1 and 2 may not be needed for 60GHz operation. Given the impact of DCI size on coverage, RAN1 should consider DCI size reduction, and FDRA fields is one of the candidate fields that can be investigated.</w:t>
      </w:r>
    </w:p>
    <w:p w14:paraId="052314D1" w14:textId="77777777" w:rsidR="0071115D" w:rsidRDefault="0071115D" w:rsidP="0071115D">
      <w:pPr>
        <w:pStyle w:val="BodyText"/>
      </w:pPr>
    </w:p>
    <w:p w14:paraId="2DE246A1" w14:textId="6AC67A08" w:rsidR="0071115D" w:rsidRDefault="00682963" w:rsidP="0071115D">
      <w:pPr>
        <w:pStyle w:val="Proposal"/>
      </w:pPr>
      <w:bookmarkStart w:id="718" w:name="_Toc53776235"/>
      <w:r>
        <w:t>Capture the following observation in TR 38.808: F</w:t>
      </w:r>
      <w:r w:rsidR="006F6BFE">
        <w:t xml:space="preserve">or operation in 52.6 – 71 GHz, it is beneficial to </w:t>
      </w:r>
      <w:r w:rsidR="0071115D">
        <w:t>reduce the FDRA fields size by supporting larger RBG sizes.</w:t>
      </w:r>
      <w:bookmarkEnd w:id="718"/>
      <w:r w:rsidR="0071115D">
        <w:t xml:space="preserve"> </w:t>
      </w:r>
    </w:p>
    <w:p w14:paraId="364F8BE0" w14:textId="77777777" w:rsidR="0071115D" w:rsidRPr="00C81EDA" w:rsidRDefault="0071115D" w:rsidP="00C81EDA">
      <w:pPr>
        <w:rPr>
          <w:lang w:val="en-GB"/>
        </w:rPr>
      </w:pPr>
    </w:p>
    <w:p w14:paraId="47FF3BD9" w14:textId="4715BC1B" w:rsidR="00E0459B" w:rsidRPr="00C81EDA" w:rsidRDefault="00E0459B" w:rsidP="00C81EDA">
      <w:pPr>
        <w:pStyle w:val="Heading3"/>
      </w:pPr>
      <w:bookmarkStart w:id="719" w:name="_Toc53775912"/>
      <w:r w:rsidRPr="00C81EDA">
        <w:t>4.</w:t>
      </w:r>
      <w:r w:rsidR="00A7546B">
        <w:t>4</w:t>
      </w:r>
      <w:r w:rsidRPr="00C81EDA">
        <w:t>.</w:t>
      </w:r>
      <w:r w:rsidR="00C81EDA" w:rsidRPr="00C81EDA">
        <w:t>3</w:t>
      </w:r>
      <w:r w:rsidR="00C81EDA" w:rsidRPr="00C81EDA">
        <w:tab/>
      </w:r>
      <w:r w:rsidRPr="00C81EDA">
        <w:t>PDSCH processing time improvement</w:t>
      </w:r>
      <w:bookmarkEnd w:id="719"/>
    </w:p>
    <w:p w14:paraId="25A7C2CF" w14:textId="24395252" w:rsidR="00E0459B" w:rsidRPr="00F60AB3" w:rsidRDefault="00E0459B" w:rsidP="00E0459B">
      <w:pPr>
        <w:pStyle w:val="BodyText"/>
        <w:rPr>
          <w:color w:val="000000"/>
          <w14:textFill>
            <w14:solidFill>
              <w14:srgbClr w14:val="000000">
                <w14:lumMod w14:val="90000"/>
              </w14:srgbClr>
            </w14:solidFill>
          </w14:textFill>
        </w:rPr>
      </w:pPr>
      <w:r w:rsidRPr="00E90690">
        <w:t>As a first step to start the processing timeline discussion, we fit simple formulae to the Rel-15 processing times as the benchmarks for NR operati</w:t>
      </w:r>
      <w:r w:rsidRPr="00F60AB3">
        <w:t xml:space="preserve">on in 52.6 to 71 GHz. Using the front loaded DMRS case as an example, the PDSCH decoding time </w:t>
      </w:r>
      <m:oMath>
        <m:sSub>
          <m:sSubPr>
            <m:ctrlPr>
              <w:rPr>
                <w:rFonts w:ascii="Cambria Math" w:hAnsi="Cambria Math"/>
                <w:i/>
              </w:rPr>
            </m:ctrlPr>
          </m:sSubPr>
          <m:e>
            <m:r>
              <w:rPr>
                <w:rFonts w:ascii="Cambria Math" w:hAnsi="Cambria Math"/>
              </w:rPr>
              <m:t>N</m:t>
            </m:r>
          </m:e>
          <m:sub>
            <m:r>
              <w:rPr>
                <w:rFonts w:ascii="Cambria Math" w:hAnsi="Cambria Math"/>
              </w:rPr>
              <m:t>1</m:t>
            </m:r>
          </m:sub>
        </m:sSub>
      </m:oMath>
      <w:r w:rsidRPr="00E90690">
        <w:t xml:space="preserve"> for numerology </w:t>
      </w:r>
      <m:oMath>
        <m:r>
          <w:rPr>
            <w:rFonts w:ascii="Cambria Math" w:hAnsi="Cambria Math"/>
          </w:rPr>
          <m:t>μ</m:t>
        </m:r>
      </m:oMath>
      <w:r w:rsidRPr="00F60AB3">
        <w:t xml:space="preserve"> in terms of the number of OS in the respective numerology can be approximated </w:t>
      </w:r>
      <w:r>
        <w:t xml:space="preserve">as </w:t>
      </w:r>
      <w:r w:rsidRPr="00F60AB3">
        <w:t xml:space="preserve">tabulated in </w:t>
      </w:r>
      <w:r w:rsidRPr="00F60AB3">
        <w:fldChar w:fldCharType="begin"/>
      </w:r>
      <w:r w:rsidRPr="000829F3">
        <w:instrText xml:space="preserve"> REF _Ref46406873 \h  \* MERGEFORMAT </w:instrText>
      </w:r>
      <w:r w:rsidRPr="00F60AB3">
        <w:fldChar w:fldCharType="separate"/>
      </w:r>
      <w:r w:rsidR="00BE31F7" w:rsidRPr="00F676BA">
        <w:t xml:space="preserve">Figure </w:t>
      </w:r>
      <w:r w:rsidR="00BE31F7">
        <w:t>34</w:t>
      </w:r>
      <w:r w:rsidRPr="00F60AB3">
        <w:fldChar w:fldCharType="end"/>
      </w:r>
      <w:r w:rsidRPr="00F60AB3">
        <w:rPr>
          <w:color w:val="000000"/>
          <w14:textFill>
            <w14:solidFill>
              <w14:srgbClr w14:val="000000">
                <w14:lumMod w14:val="90000"/>
              </w14:srgbClr>
            </w14:solidFill>
          </w14:textFill>
        </w:rPr>
        <w:t xml:space="preserve"> in Section 3.5, the benchmark for PDSCH decoding time for 480 kHz SCS </w:t>
      </w:r>
      <w:r>
        <w:t xml:space="preserve">is </w:t>
      </w:r>
      <w:r w:rsidRPr="00F60AB3">
        <w:rPr>
          <w:color w:val="000000"/>
          <w14:textFill>
            <w14:solidFill>
              <w14:srgbClr w14:val="000000">
                <w14:lumMod w14:val="90000"/>
              </w14:srgbClr>
            </w14:solidFill>
          </w14:textFill>
        </w:rPr>
        <w:t>around 37 O</w:t>
      </w:r>
      <w:r>
        <w:rPr>
          <w:color w:val="000000"/>
          <w14:textFill>
            <w14:solidFill>
              <w14:srgbClr w14:val="000000">
                <w14:lumMod w14:val="90000"/>
              </w14:srgbClr>
            </w14:solidFill>
          </w14:textFill>
        </w:rPr>
        <w:t>S</w:t>
      </w:r>
      <w:r w:rsidRPr="00F60AB3">
        <w:rPr>
          <w:color w:val="000000"/>
          <w14:textFill>
            <w14:solidFill>
              <w14:srgbClr w14:val="000000">
                <w14:lumMod w14:val="90000"/>
              </w14:srgbClr>
            </w14:solidFill>
          </w14:textFill>
        </w:rPr>
        <w:t>. For 960 kHz SCS, the benchmark should be around 50 OS rather than 160 OS</w:t>
      </w:r>
      <w:r>
        <w:t xml:space="preserve"> as listed in the system level simulation assumptions</w:t>
      </w:r>
      <w:r w:rsidRPr="00E90690">
        <w:t>.</w:t>
      </w:r>
    </w:p>
    <w:p w14:paraId="2FE943E9" w14:textId="77777777" w:rsidR="00E0459B" w:rsidRDefault="00E0459B" w:rsidP="00E0459B">
      <w:pPr>
        <w:pStyle w:val="BodyText"/>
      </w:pPr>
      <w:r w:rsidRPr="00F60AB3">
        <w:rPr>
          <w:color w:val="000000"/>
          <w14:textFill>
            <w14:solidFill>
              <w14:srgbClr w14:val="000000">
                <w14:lumMod w14:val="90000"/>
              </w14:srgbClr>
            </w14:solidFill>
          </w14:textFill>
        </w:rPr>
        <w:t xml:space="preserve">Several factors contribute to the UE minimum processing time. One factor relates to the amount of time needed to perform PDCCH blind decoding search. Another factor relates to whether the UE needs to wait for additional </w:t>
      </w:r>
      <w:r w:rsidRPr="00F60AB3">
        <w:rPr>
          <w:color w:val="000000"/>
          <w14:textFill>
            <w14:solidFill>
              <w14:srgbClr w14:val="000000">
                <w14:lumMod w14:val="90000"/>
              </w14:srgbClr>
            </w14:solidFill>
          </w14:textFill>
        </w:rPr>
        <w:lastRenderedPageBreak/>
        <w:t xml:space="preserve">DMRS in the PDSCH transmission. A further factor is related to </w:t>
      </w:r>
      <w:r>
        <w:rPr>
          <w:color w:val="000000"/>
          <w14:textFill>
            <w14:solidFill>
              <w14:srgbClr w14:val="000000">
                <w14:lumMod w14:val="90000"/>
              </w14:srgbClr>
            </w14:solidFill>
          </w14:textFill>
        </w:rPr>
        <w:t xml:space="preserve">increased sizes of soft buffer as discussed in Section 3.5. Because of increased protocol latency / loop length, </w:t>
      </w:r>
      <w:r w:rsidRPr="00AD7345">
        <w:rPr>
          <w:color w:val="000000"/>
          <w14:textFill>
            <w14:solidFill>
              <w14:srgbClr w14:val="000000">
                <w14:lumMod w14:val="90000"/>
              </w14:srgbClr>
            </w14:solidFill>
          </w14:textFill>
        </w:rPr>
        <w:t xml:space="preserve">a receiver increasingly needs to </w:t>
      </w:r>
      <w:r>
        <w:rPr>
          <w:color w:val="000000"/>
          <w14:textFill>
            <w14:solidFill>
              <w14:srgbClr w14:val="000000">
                <w14:lumMod w14:val="90000"/>
              </w14:srgbClr>
            </w14:solidFill>
          </w14:textFill>
        </w:rPr>
        <w:t>keep</w:t>
      </w:r>
      <w:r w:rsidRPr="00AD7345">
        <w:rPr>
          <w:color w:val="000000"/>
          <w14:textFill>
            <w14:solidFill>
              <w14:srgbClr w14:val="000000">
                <w14:lumMod w14:val="90000"/>
              </w14:srgbClr>
            </w14:solidFill>
          </w14:textFill>
        </w:rPr>
        <w:t xml:space="preserve"> large</w:t>
      </w:r>
      <w:r>
        <w:rPr>
          <w:color w:val="000000"/>
          <w14:textFill>
            <w14:solidFill>
              <w14:srgbClr w14:val="000000">
                <w14:lumMod w14:val="90000"/>
              </w14:srgbClr>
            </w14:solidFill>
          </w14:textFill>
        </w:rPr>
        <w:t>r</w:t>
      </w:r>
      <w:r w:rsidRPr="00AD7345">
        <w:rPr>
          <w:color w:val="000000"/>
          <w14:textFill>
            <w14:solidFill>
              <w14:srgbClr w14:val="000000">
                <w14:lumMod w14:val="90000"/>
              </w14:srgbClr>
            </w14:solidFill>
          </w14:textFill>
        </w:rPr>
        <w:t xml:space="preserve"> amount of soft values</w:t>
      </w:r>
      <w:r w:rsidRPr="00F60AB3">
        <w:rPr>
          <w:color w:val="000000"/>
          <w14:textFill>
            <w14:solidFill>
              <w14:srgbClr w14:val="000000">
                <w14:lumMod w14:val="90000"/>
              </w14:srgbClr>
            </w14:solidFill>
          </w14:textFill>
        </w:rPr>
        <w:t xml:space="preserve">. </w:t>
      </w:r>
      <w:r>
        <w:rPr>
          <w:color w:val="000000"/>
          <w14:textFill>
            <w14:solidFill>
              <w14:srgbClr w14:val="000000">
                <w14:lumMod w14:val="90000"/>
              </w14:srgbClr>
            </w14:solidFill>
          </w14:textFill>
        </w:rPr>
        <w:t>I</w:t>
      </w:r>
      <w:r w:rsidRPr="00F60AB3">
        <w:rPr>
          <w:color w:val="000000"/>
          <w14:textFill>
            <w14:solidFill>
              <w14:srgbClr w14:val="000000">
                <w14:lumMod w14:val="90000"/>
              </w14:srgbClr>
            </w14:solidFill>
          </w14:textFill>
        </w:rPr>
        <w:t>t has become uneconomical for the receiver implementation to include such soft buffer memory on the same chip for baseband processing. That is, the soft values need to be written to off-chip memory hardware when a transmission is not received successfully. The soft values will also need to be read back from off-chip memory hardware when the receiver is processing a retransmission of the same transport block. Since access of off-chip memory hardware takes substantially more time than the baseband processor cycles, proper HARQ feedback timing control for the high frequency ranges need to take soft combining into consideration.</w:t>
      </w:r>
    </w:p>
    <w:p w14:paraId="22DF0AC7" w14:textId="77777777" w:rsidR="00E0459B" w:rsidRDefault="00E0459B" w:rsidP="00E0459B">
      <w:pPr>
        <w:pStyle w:val="BodyText"/>
      </w:pPr>
      <w:r>
        <w:t>In Rel-15, a single UE processing time requirement is defined</w:t>
      </w:r>
      <w:r w:rsidDel="00911C4A">
        <w:t xml:space="preserve"> </w:t>
      </w:r>
      <w:r>
        <w:t xml:space="preserve">to cover both initial and retransmission cases. But for initial transmission case where there is no need of additional latency budget to fetch from soft buffer memory, the actual PDSCH decoding times in terms of OSs needed for the initial transmission can be less than that for the retransmission cases. This is one of the opportunities where PDSCH decoding time can be reduced for initial transmissions. Considering that the ACK/NACK latency (SIFS) for the IEEE 802.11ad devices is 3 </w:t>
      </w:r>
      <w:proofErr w:type="spellStart"/>
      <w:r>
        <w:rPr>
          <w:rFonts w:ascii="Cambria Math" w:hAnsi="Cambria Math"/>
        </w:rPr>
        <w:t>μ</w:t>
      </w:r>
      <w:r>
        <w:t>s</w:t>
      </w:r>
      <w:proofErr w:type="spellEnd"/>
      <w:r>
        <w:t>, a new PDSCH decoding time requirement much shorter than 37 OSs (</w:t>
      </w:r>
      <w:r>
        <w:rPr>
          <w:rFonts w:ascii="Cambria Math" w:hAnsi="Cambria Math"/>
        </w:rPr>
        <w:t>≈</w:t>
      </w:r>
      <w:r>
        <w:t xml:space="preserve">82 </w:t>
      </w:r>
      <w:proofErr w:type="spellStart"/>
      <w:r>
        <w:rPr>
          <w:rFonts w:ascii="Cambria Math" w:hAnsi="Cambria Math"/>
        </w:rPr>
        <w:t>μ</w:t>
      </w:r>
      <w:r>
        <w:t>s</w:t>
      </w:r>
      <w:proofErr w:type="spellEnd"/>
      <w:r>
        <w:t xml:space="preserve">) should be considered for in NR operation in 52.6 to 71 GHz. </w:t>
      </w:r>
    </w:p>
    <w:p w14:paraId="61AD328F" w14:textId="77777777" w:rsidR="00E0459B" w:rsidRDefault="00E0459B" w:rsidP="00E0459B">
      <w:pPr>
        <w:pStyle w:val="BodyText"/>
      </w:pPr>
    </w:p>
    <w:p w14:paraId="4C796F9D" w14:textId="77777777" w:rsidR="00E0459B" w:rsidRPr="00F60AB3" w:rsidRDefault="00E0459B" w:rsidP="00E0459B">
      <w:pPr>
        <w:pStyle w:val="Proposal"/>
      </w:pPr>
      <w:bookmarkStart w:id="720" w:name="_Toc46496325"/>
      <w:bookmarkStart w:id="721" w:name="_Toc46496566"/>
      <w:bookmarkStart w:id="722" w:name="_Toc46497847"/>
      <w:bookmarkStart w:id="723" w:name="_Toc46496327"/>
      <w:bookmarkStart w:id="724" w:name="_Toc46496568"/>
      <w:bookmarkStart w:id="725" w:name="_Toc46497849"/>
      <w:bookmarkStart w:id="726" w:name="_Toc46496328"/>
      <w:bookmarkStart w:id="727" w:name="_Toc46496569"/>
      <w:bookmarkStart w:id="728" w:name="_Toc46497850"/>
      <w:bookmarkStart w:id="729" w:name="_Toc46496329"/>
      <w:bookmarkStart w:id="730" w:name="_Toc46496570"/>
      <w:bookmarkStart w:id="731" w:name="_Toc46497851"/>
      <w:bookmarkStart w:id="732" w:name="_Toc46496332"/>
      <w:bookmarkStart w:id="733" w:name="_Toc46496573"/>
      <w:bookmarkStart w:id="734" w:name="_Toc46497854"/>
      <w:bookmarkStart w:id="735" w:name="_Toc53776236"/>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r>
        <w:t>RAN1 should investigate the different factors that contribute to the PDSCH processing time and consider possible latency reduction opportunities.</w:t>
      </w:r>
      <w:bookmarkEnd w:id="735"/>
      <w:r>
        <w:t xml:space="preserve"> </w:t>
      </w:r>
    </w:p>
    <w:p w14:paraId="3853B5AC" w14:textId="77777777" w:rsidR="00E0459B" w:rsidRDefault="00E0459B" w:rsidP="00E0459B">
      <w:pPr>
        <w:pStyle w:val="BodyText"/>
      </w:pPr>
    </w:p>
    <w:p w14:paraId="0DB6C408" w14:textId="133D324E" w:rsidR="00BD5CCB" w:rsidRDefault="00BD5CCB" w:rsidP="00E0459B">
      <w:pPr>
        <w:pStyle w:val="Heading3"/>
      </w:pPr>
      <w:bookmarkStart w:id="736" w:name="_Toc53775913"/>
      <w:r>
        <w:t>4.</w:t>
      </w:r>
      <w:r w:rsidR="00A7546B">
        <w:t>4</w:t>
      </w:r>
      <w:r w:rsidR="00C81EDA">
        <w:t>.4</w:t>
      </w:r>
      <w:r w:rsidR="00C81EDA">
        <w:tab/>
      </w:r>
      <w:r>
        <w:t xml:space="preserve">Scheduling </w:t>
      </w:r>
      <w:r w:rsidR="008C3AD3">
        <w:t>r</w:t>
      </w:r>
      <w:r>
        <w:t xml:space="preserve">equest </w:t>
      </w:r>
      <w:r w:rsidR="008C3AD3">
        <w:t>e</w:t>
      </w:r>
      <w:r>
        <w:t>nhancements</w:t>
      </w:r>
      <w:bookmarkEnd w:id="711"/>
      <w:bookmarkEnd w:id="736"/>
    </w:p>
    <w:p w14:paraId="0A1ED089" w14:textId="77777777" w:rsidR="00BD5CCB" w:rsidRPr="0035235B" w:rsidRDefault="00BD5CCB" w:rsidP="00BD5CCB">
      <w:pPr>
        <w:pStyle w:val="BodyText"/>
      </w:pPr>
      <w:r w:rsidRPr="0035235B">
        <w:t xml:space="preserve">NR operation in mm-wave bands heavily relies on beamforming for both transmission and reception. For UL transmission, a spatial relation needs to be established and understood by both UE and </w:t>
      </w:r>
      <w:proofErr w:type="spellStart"/>
      <w:r w:rsidRPr="0035235B">
        <w:t>gNB</w:t>
      </w:r>
      <w:proofErr w:type="spellEnd"/>
      <w:r w:rsidRPr="0035235B">
        <w:t xml:space="preserve"> before transmission in the UL is conducted. A spatial relation is defined between an UL channel/reference signal (PUSCH, PUCCH, SRS) and either a DL reference signal (CSI-RS, SS/PBCH block) or another UL reference signal (SRS). If UL channel/signal A is spatially related to reference signal B, it means the UE should beamform A in the same way as it received/transmitted B.</w:t>
      </w:r>
      <w:r>
        <w:t xml:space="preserve"> </w:t>
      </w:r>
      <w:r w:rsidRPr="0035235B">
        <w:t xml:space="preserve">By establishing a spatial relation, the UE gets to know in which direction to beamform its transmission signal towards the targeted </w:t>
      </w:r>
      <w:proofErr w:type="spellStart"/>
      <w:r w:rsidRPr="0035235B">
        <w:t>gNB</w:t>
      </w:r>
      <w:proofErr w:type="spellEnd"/>
      <w:r w:rsidRPr="0035235B">
        <w:t xml:space="preserve">, and the </w:t>
      </w:r>
      <w:proofErr w:type="spellStart"/>
      <w:r w:rsidRPr="0035235B">
        <w:t>gNB</w:t>
      </w:r>
      <w:proofErr w:type="spellEnd"/>
      <w:r w:rsidRPr="0035235B">
        <w:t xml:space="preserve"> also understands how to tune its RX beam towards the UE. </w:t>
      </w:r>
      <w:proofErr w:type="gramStart"/>
      <w:r w:rsidRPr="0035235B">
        <w:t>A number of</w:t>
      </w:r>
      <w:proofErr w:type="gramEnd"/>
      <w:r w:rsidRPr="0035235B">
        <w:t xml:space="preserve"> issues are identified below regarding UL beamforming in the scenario of periodic Scheduling Request transmission on PUCCH. </w:t>
      </w:r>
    </w:p>
    <w:p w14:paraId="5B32C660" w14:textId="77777777" w:rsidR="00BD5CCB" w:rsidRDefault="00BD5CCB" w:rsidP="00BD5CCB">
      <w:pPr>
        <w:pStyle w:val="BodyText"/>
      </w:pPr>
      <w:r w:rsidRPr="0035235B">
        <w:t xml:space="preserve">Firstly, </w:t>
      </w:r>
      <w:r>
        <w:t xml:space="preserve">an </w:t>
      </w:r>
      <w:r w:rsidRPr="0035235B">
        <w:t xml:space="preserve">SR </w:t>
      </w:r>
      <w:r>
        <w:t xml:space="preserve">transmission on a </w:t>
      </w:r>
      <w:proofErr w:type="gramStart"/>
      <w:r>
        <w:t>particular period</w:t>
      </w:r>
      <w:proofErr w:type="gramEnd"/>
      <w:r>
        <w:t xml:space="preserve"> of the configured periodic PUCCH is initiated by a</w:t>
      </w:r>
      <w:r w:rsidRPr="0035235B">
        <w:t xml:space="preserve"> UE</w:t>
      </w:r>
      <w:r>
        <w:t xml:space="preserve"> and is transmitted according to the currently active spatial relation for that UE. Since the </w:t>
      </w:r>
      <w:proofErr w:type="spellStart"/>
      <w:r>
        <w:t>gNB</w:t>
      </w:r>
      <w:proofErr w:type="spellEnd"/>
      <w:r>
        <w:t xml:space="preserve"> must listen for SRs in many different directions, it may not know from which direction a particular UE will transmit at any given time</w:t>
      </w:r>
      <w:r w:rsidRPr="0035235B">
        <w:t xml:space="preserve">, hence it might not be able to tune its RX beam properly towards </w:t>
      </w:r>
      <w:r>
        <w:t>that</w:t>
      </w:r>
      <w:r w:rsidRPr="0035235B">
        <w:t xml:space="preserve"> UE</w:t>
      </w:r>
      <w:r>
        <w:t xml:space="preserve"> when it transmits an SR autonomously</w:t>
      </w:r>
      <w:r w:rsidRPr="0035235B">
        <w:t xml:space="preserve">. Because of this beam misalignment, the UE might need to re-transmit SR many times before it is finally heard by the </w:t>
      </w:r>
      <w:proofErr w:type="spellStart"/>
      <w:r w:rsidRPr="0035235B">
        <w:t>gNB</w:t>
      </w:r>
      <w:proofErr w:type="spellEnd"/>
      <w:r w:rsidRPr="0035235B">
        <w:t xml:space="preserve">. There is also a considerable risk that the UE might reach the limit of SR transmission attempts thus falling back to transmit SR over RACH. </w:t>
      </w:r>
      <w:proofErr w:type="gramStart"/>
      <w:r w:rsidRPr="0035235B">
        <w:t>As a consequence of</w:t>
      </w:r>
      <w:proofErr w:type="gramEnd"/>
      <w:r w:rsidRPr="0035235B">
        <w:t xml:space="preserve"> this beam mis-alignment phenomenon, SR and the overall UL data transmission latency can be very high.</w:t>
      </w:r>
    </w:p>
    <w:p w14:paraId="45F129F7" w14:textId="0C0CC213" w:rsidR="00BD5CCB" w:rsidRPr="0035235B" w:rsidRDefault="085B2135" w:rsidP="00BD5CCB">
      <w:pPr>
        <w:pStyle w:val="BodyText"/>
      </w:pPr>
      <w:r>
        <w:rPr>
          <w:noProof/>
        </w:rPr>
        <w:drawing>
          <wp:inline distT="0" distB="0" distL="0" distR="0" wp14:anchorId="764EE1AF" wp14:editId="7996B4B6">
            <wp:extent cx="6120765" cy="2040255"/>
            <wp:effectExtent l="0" t="0" r="0" b="0"/>
            <wp:docPr id="16469876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80">
                      <a:extLst>
                        <a:ext uri="{28A0092B-C50C-407E-A947-70E740481C1C}">
                          <a14:useLocalDpi xmlns:a14="http://schemas.microsoft.com/office/drawing/2010/main" val="0"/>
                        </a:ext>
                      </a:extLst>
                    </a:blip>
                    <a:stretch>
                      <a:fillRect/>
                    </a:stretch>
                  </pic:blipFill>
                  <pic:spPr>
                    <a:xfrm>
                      <a:off x="0" y="0"/>
                      <a:ext cx="6120765" cy="2040255"/>
                    </a:xfrm>
                    <a:prstGeom prst="rect">
                      <a:avLst/>
                    </a:prstGeom>
                  </pic:spPr>
                </pic:pic>
              </a:graphicData>
            </a:graphic>
          </wp:inline>
        </w:drawing>
      </w:r>
    </w:p>
    <w:p w14:paraId="4FE3C172" w14:textId="77777777" w:rsidR="00BD5CCB" w:rsidRPr="0035235B" w:rsidRDefault="00BD5CCB" w:rsidP="00BD5CCB">
      <w:pPr>
        <w:pStyle w:val="BodyText"/>
      </w:pPr>
      <w:r w:rsidRPr="0035235B">
        <w:t xml:space="preserve">Secondly, </w:t>
      </w:r>
      <w:r>
        <w:t xml:space="preserve">a </w:t>
      </w:r>
      <w:proofErr w:type="spellStart"/>
      <w:r w:rsidRPr="0035235B">
        <w:t>gNB</w:t>
      </w:r>
      <w:proofErr w:type="spellEnd"/>
      <w:r w:rsidRPr="0035235B">
        <w:t xml:space="preserve"> with analog beamforming capability can only listen to UL transmission in one direction (per antenna panel) at a time. To solve this, the </w:t>
      </w:r>
      <w:proofErr w:type="spellStart"/>
      <w:r w:rsidRPr="0035235B">
        <w:t>gNB</w:t>
      </w:r>
      <w:proofErr w:type="spellEnd"/>
      <w:r w:rsidRPr="0035235B">
        <w:t xml:space="preserve"> can periodically sweep through all beams in the cell for SR detection in SR transmission occasions. In such an application scenario, SR latency is not only determined by the SR periodicity configured to the UEs, but also by the periodicity of SR sweeping in the </w:t>
      </w:r>
      <w:proofErr w:type="spellStart"/>
      <w:r w:rsidRPr="0035235B">
        <w:t>gNB</w:t>
      </w:r>
      <w:proofErr w:type="spellEnd"/>
      <w:r w:rsidRPr="0035235B">
        <w:t xml:space="preserve">. Imagine in a </w:t>
      </w:r>
      <w:r w:rsidRPr="0035235B">
        <w:lastRenderedPageBreak/>
        <w:t xml:space="preserve">cell where </w:t>
      </w:r>
      <w:proofErr w:type="gramStart"/>
      <w:r w:rsidRPr="0035235B">
        <w:t>a large number of</w:t>
      </w:r>
      <w:proofErr w:type="gramEnd"/>
      <w:r w:rsidRPr="0035235B">
        <w:t xml:space="preserve"> narrow beams are configured, it will take many slots for the </w:t>
      </w:r>
      <w:proofErr w:type="spellStart"/>
      <w:r w:rsidRPr="0035235B">
        <w:t>gNB</w:t>
      </w:r>
      <w:proofErr w:type="spellEnd"/>
      <w:r w:rsidRPr="0035235B">
        <w:t xml:space="preserve"> to beam-sweep through the entire cell for SR detection. Statistically the SR latency can become extremely high. This can be a big issue for some devices or applications with tight latency requirement.</w:t>
      </w:r>
    </w:p>
    <w:p w14:paraId="6F810EA6" w14:textId="77777777" w:rsidR="00BD5CCB" w:rsidRDefault="00BD5CCB" w:rsidP="00BD5CCB">
      <w:pPr>
        <w:pStyle w:val="BodyText"/>
      </w:pPr>
      <w:r w:rsidRPr="0035235B">
        <w:t xml:space="preserve">Thirdly, SR resources for multiple UEs can be configured in same OFDM symbol(s) by means of frequency or code multiplexing to improve resource efficiency. </w:t>
      </w:r>
      <w:r>
        <w:t xml:space="preserve">A </w:t>
      </w:r>
      <w:proofErr w:type="spellStart"/>
      <w:r w:rsidRPr="0035235B">
        <w:t>gNB</w:t>
      </w:r>
      <w:proofErr w:type="spellEnd"/>
      <w:r w:rsidRPr="0035235B">
        <w:t xml:space="preserve"> with analog beamforming capability should </w:t>
      </w:r>
      <w:r>
        <w:t xml:space="preserve">then </w:t>
      </w:r>
      <w:r w:rsidRPr="0035235B">
        <w:t xml:space="preserve">multiplex SR resources in the same time occasion only for UEs located in the same beam coverage area, so that the </w:t>
      </w:r>
      <w:proofErr w:type="spellStart"/>
      <w:r w:rsidRPr="0035235B">
        <w:t>gNB</w:t>
      </w:r>
      <w:proofErr w:type="spellEnd"/>
      <w:r w:rsidRPr="0035235B">
        <w:t xml:space="preserve"> can detect the SR transmissions from the UEs with the same RX beam. When the UEs are moving around in the cell across different beam coverage area, </w:t>
      </w:r>
      <w:proofErr w:type="spellStart"/>
      <w:r w:rsidRPr="0035235B">
        <w:t>gNB</w:t>
      </w:r>
      <w:proofErr w:type="spellEnd"/>
      <w:r w:rsidRPr="0035235B">
        <w:t xml:space="preserve"> needs to frequently re-configure SR resources for the UEs by dedicated RRC signaling, which can contribute to an excessive signaling overhead to the system.</w:t>
      </w:r>
    </w:p>
    <w:p w14:paraId="451BE726" w14:textId="2E2941A3" w:rsidR="00BD5CCB" w:rsidRDefault="00BD5CCB" w:rsidP="00BD5CCB">
      <w:pPr>
        <w:pStyle w:val="BodyText"/>
      </w:pPr>
      <w:r>
        <w:t>To illustrate this issue,</w:t>
      </w:r>
      <w:r w:rsidRPr="00C64CDD">
        <w:t xml:space="preserve"> </w:t>
      </w:r>
      <w:r w:rsidR="00E629E5">
        <w:fldChar w:fldCharType="begin"/>
      </w:r>
      <w:r w:rsidR="00E629E5">
        <w:instrText xml:space="preserve"> REF _Ref48658055 \h </w:instrText>
      </w:r>
      <w:r w:rsidR="00E629E5">
        <w:fldChar w:fldCharType="separate"/>
      </w:r>
      <w:r w:rsidR="00BE31F7" w:rsidRPr="00F676BA">
        <w:t xml:space="preserve">Figure </w:t>
      </w:r>
      <w:r w:rsidR="00BE31F7">
        <w:rPr>
          <w:noProof/>
        </w:rPr>
        <w:t>49</w:t>
      </w:r>
      <w:r w:rsidR="00E629E5">
        <w:fldChar w:fldCharType="end"/>
      </w:r>
      <w:r>
        <w:t xml:space="preserve"> shows two UEs</w:t>
      </w:r>
      <w:r w:rsidRPr="00D45DAA">
        <w:t xml:space="preserve"> </w:t>
      </w:r>
      <w:r>
        <w:t xml:space="preserve">each </w:t>
      </w:r>
      <w:r w:rsidRPr="00D45DAA">
        <w:t>configured with a single SR resource</w:t>
      </w:r>
      <w:r>
        <w:t xml:space="preserve"> and the two resources are frequency or code division multiplexed, i.e., occur in the same time occasion (OFDM symbol). When a UE moves into the coverage of another beam, the </w:t>
      </w:r>
      <w:proofErr w:type="spellStart"/>
      <w:r w:rsidRPr="00A417B5">
        <w:t>gNB</w:t>
      </w:r>
      <w:proofErr w:type="spellEnd"/>
      <w:r w:rsidRPr="00A417B5">
        <w:t xml:space="preserve"> updates </w:t>
      </w:r>
      <w:r>
        <w:t xml:space="preserve">the </w:t>
      </w:r>
      <w:r w:rsidRPr="00A417B5">
        <w:t xml:space="preserve">spatial relation for the configured SR resource </w:t>
      </w:r>
      <w:r w:rsidRPr="00BB49EF">
        <w:t>via MAC-CE</w:t>
      </w:r>
      <w:r>
        <w:t xml:space="preserve"> after receiving measurement report(s) from the UE. This </w:t>
      </w:r>
      <w:r w:rsidRPr="00C64CDD">
        <w:t xml:space="preserve">mechanism is not friendly </w:t>
      </w:r>
      <w:r>
        <w:t>to</w:t>
      </w:r>
      <w:r w:rsidRPr="00C64CDD">
        <w:t xml:space="preserve"> </w:t>
      </w:r>
      <w:r>
        <w:t xml:space="preserve">frequency/code division multiplexing of </w:t>
      </w:r>
      <w:r w:rsidRPr="00C64CDD">
        <w:t>PUCCH resource</w:t>
      </w:r>
      <w:r>
        <w:t>s in the context of analog beamforming</w:t>
      </w:r>
      <w:r w:rsidRPr="00C64CDD">
        <w:t>.</w:t>
      </w:r>
      <w:r>
        <w:t xml:space="preserve"> </w:t>
      </w:r>
      <w:r w:rsidRPr="00C64CDD">
        <w:t xml:space="preserve">The example in </w:t>
      </w:r>
      <w:r w:rsidR="00F72445">
        <w:fldChar w:fldCharType="begin"/>
      </w:r>
      <w:r w:rsidR="00F72445">
        <w:instrText xml:space="preserve"> REF _Ref48658055 \h </w:instrText>
      </w:r>
      <w:r w:rsidR="00F72445">
        <w:fldChar w:fldCharType="separate"/>
      </w:r>
      <w:r w:rsidR="00BE31F7" w:rsidRPr="00F676BA">
        <w:t xml:space="preserve">Figure </w:t>
      </w:r>
      <w:r w:rsidR="00BE31F7">
        <w:rPr>
          <w:noProof/>
        </w:rPr>
        <w:t>49</w:t>
      </w:r>
      <w:r w:rsidR="00F72445">
        <w:fldChar w:fldCharType="end"/>
      </w:r>
      <w:r>
        <w:t xml:space="preserve"> </w:t>
      </w:r>
      <w:r w:rsidRPr="00C64CDD">
        <w:t xml:space="preserve">starts with both UE1 and UE2 located in the SSB1 coverage area. </w:t>
      </w:r>
      <w:r>
        <w:t xml:space="preserve">Initially, the </w:t>
      </w:r>
      <w:proofErr w:type="spellStart"/>
      <w:r w:rsidRPr="00C64CDD">
        <w:t>gNB</w:t>
      </w:r>
      <w:proofErr w:type="spellEnd"/>
      <w:r w:rsidRPr="00C64CDD">
        <w:t xml:space="preserve"> </w:t>
      </w:r>
      <w:r>
        <w:t>configures</w:t>
      </w:r>
      <w:r w:rsidRPr="00C64CDD">
        <w:t xml:space="preserve"> </w:t>
      </w:r>
      <w:r>
        <w:t xml:space="preserve">the spatial relation for both UEs as </w:t>
      </w:r>
      <w:r w:rsidRPr="00C64CDD">
        <w:t>SSB1, which works fine until UE1 starts to move.</w:t>
      </w:r>
      <w:r>
        <w:t xml:space="preserve"> If t</w:t>
      </w:r>
      <w:r w:rsidRPr="00C64CDD">
        <w:t xml:space="preserve">he UE moves </w:t>
      </w:r>
      <w:r>
        <w:t xml:space="preserve">into the coverage area of </w:t>
      </w:r>
      <w:r w:rsidRPr="00C64CDD">
        <w:t xml:space="preserve">SSB2, </w:t>
      </w:r>
      <w:r>
        <w:t xml:space="preserve">the </w:t>
      </w:r>
      <w:proofErr w:type="spellStart"/>
      <w:r w:rsidRPr="00C64CDD">
        <w:t>gNB</w:t>
      </w:r>
      <w:proofErr w:type="spellEnd"/>
      <w:r w:rsidRPr="00C64CDD">
        <w:t xml:space="preserve"> updates </w:t>
      </w:r>
      <w:r>
        <w:t xml:space="preserve">the </w:t>
      </w:r>
      <w:r w:rsidRPr="00C64CDD">
        <w:t>UE1 SR resource with spatial relation to SSB2</w:t>
      </w:r>
      <w:r>
        <w:t xml:space="preserve"> via MAC-CE</w:t>
      </w:r>
      <w:r w:rsidRPr="00C64CDD">
        <w:t xml:space="preserve">. </w:t>
      </w:r>
      <w:r>
        <w:t>The trouble is that</w:t>
      </w:r>
      <w:r w:rsidRPr="00C64CDD">
        <w:t xml:space="preserve"> SRs from </w:t>
      </w:r>
      <w:r>
        <w:t xml:space="preserve">either or both </w:t>
      </w:r>
      <w:r w:rsidRPr="00C64CDD">
        <w:t>UE1 and UE2 are transmitted in the same OFDM symbol, but from different directions</w:t>
      </w:r>
      <w:r>
        <w:t xml:space="preserve"> since UE1 and UE2 now </w:t>
      </w:r>
      <w:r w:rsidR="00835A15">
        <w:t>have</w:t>
      </w:r>
      <w:r>
        <w:t xml:space="preserve"> different spatial relations</w:t>
      </w:r>
      <w:r w:rsidRPr="00C64CDD">
        <w:t xml:space="preserve">. It will be difficult for </w:t>
      </w:r>
      <w:proofErr w:type="spellStart"/>
      <w:r w:rsidRPr="00C64CDD">
        <w:t>gNB</w:t>
      </w:r>
      <w:proofErr w:type="spellEnd"/>
      <w:r w:rsidRPr="00C64CDD">
        <w:t xml:space="preserve"> to detect </w:t>
      </w:r>
      <w:r>
        <w:t xml:space="preserve">the </w:t>
      </w:r>
      <w:r w:rsidRPr="00C64CDD">
        <w:t>SR from both directions at the same time with analog beamforming capability.</w:t>
      </w:r>
      <w:r>
        <w:t xml:space="preserve"> </w:t>
      </w:r>
      <w:r w:rsidRPr="00C64CDD">
        <w:t xml:space="preserve">To solve the problem in the Rel-15 framework, the </w:t>
      </w:r>
      <w:proofErr w:type="spellStart"/>
      <w:r w:rsidRPr="00C64CDD">
        <w:t>gNB</w:t>
      </w:r>
      <w:proofErr w:type="spellEnd"/>
      <w:r>
        <w:t xml:space="preserve"> should RRC re-configure the SR resource for UE1 to be in a different OFDM symbol. However, this can lead to excessive RRC signaling when considering all UEs movement within a cell.</w:t>
      </w:r>
    </w:p>
    <w:p w14:paraId="5A7F658F" w14:textId="607E0879" w:rsidR="00BD5CCB" w:rsidRDefault="085B2135" w:rsidP="00BD5CCB">
      <w:pPr>
        <w:pStyle w:val="BodyText"/>
        <w:jc w:val="center"/>
      </w:pPr>
      <w:r>
        <w:rPr>
          <w:noProof/>
        </w:rPr>
        <w:drawing>
          <wp:inline distT="0" distB="0" distL="0" distR="0" wp14:anchorId="666C32B8" wp14:editId="2180A9C2">
            <wp:extent cx="4572000" cy="1124712"/>
            <wp:effectExtent l="0" t="0" r="0" b="0"/>
            <wp:docPr id="4283123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81">
                      <a:extLst>
                        <a:ext uri="{28A0092B-C50C-407E-A947-70E740481C1C}">
                          <a14:useLocalDpi xmlns:a14="http://schemas.microsoft.com/office/drawing/2010/main" val="0"/>
                        </a:ext>
                      </a:extLst>
                    </a:blip>
                    <a:stretch>
                      <a:fillRect/>
                    </a:stretch>
                  </pic:blipFill>
                  <pic:spPr>
                    <a:xfrm>
                      <a:off x="0" y="0"/>
                      <a:ext cx="4572000" cy="1124712"/>
                    </a:xfrm>
                    <a:prstGeom prst="rect">
                      <a:avLst/>
                    </a:prstGeom>
                  </pic:spPr>
                </pic:pic>
              </a:graphicData>
            </a:graphic>
          </wp:inline>
        </w:drawing>
      </w:r>
    </w:p>
    <w:p w14:paraId="64680719" w14:textId="73108A8B" w:rsidR="00BD5CCB" w:rsidRPr="00F676BA" w:rsidRDefault="00BD5CCB" w:rsidP="00BD5CCB">
      <w:pPr>
        <w:pStyle w:val="TF"/>
        <w:keepLines w:val="0"/>
        <w:rPr>
          <w:lang w:val="en-US"/>
        </w:rPr>
      </w:pPr>
      <w:bookmarkStart w:id="737" w:name="_Ref48658055"/>
      <w:r w:rsidRPr="00F676BA">
        <w:rPr>
          <w:lang w:val="en-US"/>
        </w:rPr>
        <w:t xml:space="preserve">Figure </w:t>
      </w:r>
      <w:r w:rsidRPr="00F676BA">
        <w:rPr>
          <w:lang w:val="en-US"/>
        </w:rPr>
        <w:fldChar w:fldCharType="begin"/>
      </w:r>
      <w:r w:rsidRPr="00F676BA">
        <w:rPr>
          <w:lang w:val="en-US"/>
        </w:rPr>
        <w:instrText xml:space="preserve"> SEQ Figure \* ARABIC </w:instrText>
      </w:r>
      <w:r w:rsidRPr="00F676BA">
        <w:rPr>
          <w:lang w:val="en-US"/>
        </w:rPr>
        <w:fldChar w:fldCharType="separate"/>
      </w:r>
      <w:r w:rsidR="00BE31F7">
        <w:rPr>
          <w:noProof/>
          <w:lang w:val="en-US"/>
        </w:rPr>
        <w:t>49</w:t>
      </w:r>
      <w:r w:rsidRPr="00F676BA">
        <w:rPr>
          <w:lang w:val="en-US"/>
        </w:rPr>
        <w:fldChar w:fldCharType="end"/>
      </w:r>
      <w:bookmarkEnd w:id="737"/>
      <w:r w:rsidRPr="00F676BA">
        <w:rPr>
          <w:lang w:val="en-US"/>
        </w:rPr>
        <w:t xml:space="preserve">: </w:t>
      </w:r>
      <w:r>
        <w:rPr>
          <w:lang w:val="en-US"/>
        </w:rPr>
        <w:t>Spatial relationship update mechanism in Rel-15</w:t>
      </w:r>
    </w:p>
    <w:p w14:paraId="05E5365B" w14:textId="77777777" w:rsidR="00BD5CCB" w:rsidRDefault="00BD5CCB" w:rsidP="00BD5CCB">
      <w:pPr>
        <w:pStyle w:val="BodyText"/>
      </w:pPr>
    </w:p>
    <w:p w14:paraId="45630698" w14:textId="77777777" w:rsidR="00BD5CCB" w:rsidRPr="004E1EE6" w:rsidRDefault="00BD5CCB" w:rsidP="00BD5CCB">
      <w:pPr>
        <w:pStyle w:val="BodyText"/>
        <w:rPr>
          <w:b/>
          <w:bCs/>
          <w:u w:val="single"/>
        </w:rPr>
      </w:pPr>
      <w:r>
        <w:rPr>
          <w:b/>
          <w:bCs/>
          <w:u w:val="single"/>
        </w:rPr>
        <w:t xml:space="preserve">Enhancements to SR configuration and </w:t>
      </w:r>
      <w:r w:rsidRPr="004E1EE6">
        <w:rPr>
          <w:b/>
          <w:bCs/>
          <w:u w:val="single"/>
        </w:rPr>
        <w:t>spatial relationship management</w:t>
      </w:r>
    </w:p>
    <w:p w14:paraId="0300BE47" w14:textId="77777777" w:rsidR="00BD5CCB" w:rsidRDefault="00BD5CCB" w:rsidP="00BD5CCB">
      <w:pPr>
        <w:pStyle w:val="BodyText"/>
      </w:pPr>
      <w:r>
        <w:t xml:space="preserve">Clearly, in a system with heavy reliance on analog beamforming, it is beneficial to consider enhancements to the Rel-15 SR configuration and spatial relation update mechanisms with the goal of avoiding excessive RRC signaling and simultaneously reducing the latency in the SR procedure. </w:t>
      </w:r>
    </w:p>
    <w:p w14:paraId="4E906117" w14:textId="77777777" w:rsidR="00BD5CCB" w:rsidRDefault="00BD5CCB" w:rsidP="00BD5CCB">
      <w:pPr>
        <w:pStyle w:val="BodyText"/>
      </w:pPr>
      <w:r>
        <w:t xml:space="preserve">One possible approach is to configure more than one </w:t>
      </w:r>
      <w:r>
        <w:rPr>
          <w:rStyle w:val="IvDbodytextChar"/>
        </w:rPr>
        <w:t>periodic SR (PUCCH) resource for a UE, where a subset of the SR resources occur in a different time occasions (OFDM symbols) and each resource is "associated" with a different spatial direction, e.g., associated with a different SS/PBCH block or different CSI-RS. This is analogous to the SSB-to-RACH occasion association inherent in Rel-15.</w:t>
      </w:r>
    </w:p>
    <w:p w14:paraId="13E98B26" w14:textId="77777777" w:rsidR="00BD5CCB" w:rsidRDefault="00BD5CCB" w:rsidP="00BD5CCB">
      <w:pPr>
        <w:pStyle w:val="BodyText"/>
      </w:pPr>
      <w:r>
        <w:t xml:space="preserve">At any given time, one or multiple of the configured periodic uplink SR resources are indicated as "active" by the </w:t>
      </w:r>
      <w:proofErr w:type="spellStart"/>
      <w:r>
        <w:t>gNB</w:t>
      </w:r>
      <w:proofErr w:type="spellEnd"/>
      <w:r>
        <w:t xml:space="preserve"> in a UE-specific manner, e.g., by MAC-CE signaling </w:t>
      </w:r>
      <w:proofErr w:type="gramStart"/>
      <w:r>
        <w:t>similar to</w:t>
      </w:r>
      <w:proofErr w:type="gramEnd"/>
      <w:r>
        <w:t xml:space="preserve"> the MAC-CE spatial relation update mechanism in Rel-15. Only the configured SR resource(s) that are active should be used for SR transmissions by the UE. For a </w:t>
      </w:r>
      <w:proofErr w:type="gramStart"/>
      <w:r>
        <w:t>particular active</w:t>
      </w:r>
      <w:proofErr w:type="gramEnd"/>
      <w:r>
        <w:t xml:space="preserve"> SR resource, the SR transmission from the UE is based on the spatial relation corresponding to the associated SSB/CSI-RS for that resource.</w:t>
      </w:r>
    </w:p>
    <w:p w14:paraId="018BE87B" w14:textId="77777777" w:rsidR="00BD5CCB" w:rsidRDefault="00BD5CCB" w:rsidP="00BD5CCB">
      <w:pPr>
        <w:pStyle w:val="BodyText"/>
      </w:pPr>
      <w:r>
        <w:t xml:space="preserve">As a UE moves from one SSB or CSI-RS beam coverage area to another, the </w:t>
      </w:r>
      <w:proofErr w:type="spellStart"/>
      <w:r>
        <w:t>gNB</w:t>
      </w:r>
      <w:proofErr w:type="spellEnd"/>
      <w:r>
        <w:t xml:space="preserve"> updates which SR resource(s) are active for that UE. The </w:t>
      </w:r>
      <w:proofErr w:type="spellStart"/>
      <w:r>
        <w:t>gNB</w:t>
      </w:r>
      <w:proofErr w:type="spellEnd"/>
      <w:r>
        <w:t xml:space="preserve"> may determine the active SR resource(s) for the UE based on CSI measurement reports from the UE, e.g., L1-RSRP, or based on </w:t>
      </w:r>
      <w:proofErr w:type="spellStart"/>
      <w:r>
        <w:t>gNB</w:t>
      </w:r>
      <w:proofErr w:type="spellEnd"/>
      <w:r>
        <w:t xml:space="preserve"> measurement on SRS(s) transmitted by the UE.</w:t>
      </w:r>
    </w:p>
    <w:p w14:paraId="6F626895" w14:textId="0D5B46D8" w:rsidR="00BD5CCB" w:rsidRDefault="00BD5CCB" w:rsidP="00BD5CCB">
      <w:pPr>
        <w:pStyle w:val="BodyText"/>
      </w:pPr>
      <w:r>
        <w:t xml:space="preserve">In this way, there is a common understanding between the </w:t>
      </w:r>
      <w:proofErr w:type="spellStart"/>
      <w:r>
        <w:t>gNB</w:t>
      </w:r>
      <w:proofErr w:type="spellEnd"/>
      <w:r>
        <w:t xml:space="preserve"> and the UE from which direction an SR will be transmitted at any given time. This mitigates the beam misalignment problem discussed above, thus simultaneously reducing the SR latency and unnecessary SR re-transmissions.</w:t>
      </w:r>
    </w:p>
    <w:p w14:paraId="01B979CE" w14:textId="77777777" w:rsidR="00327868" w:rsidRDefault="00327868" w:rsidP="00BD5CCB">
      <w:pPr>
        <w:pStyle w:val="BodyText"/>
      </w:pPr>
    </w:p>
    <w:p w14:paraId="2D531B49" w14:textId="2ACF9447" w:rsidR="00BD5CCB" w:rsidRDefault="00682963" w:rsidP="00BD5CCB">
      <w:pPr>
        <w:pStyle w:val="Proposal"/>
      </w:pPr>
      <w:bookmarkStart w:id="738" w:name="_Toc53776237"/>
      <w:r>
        <w:lastRenderedPageBreak/>
        <w:t>Capture the following observation in TR 38.808: For operation in the 52.6 – 71 GHz band, consider enhancements</w:t>
      </w:r>
      <w:r w:rsidR="00BD5CCB">
        <w:t xml:space="preserve"> to SR (PUCCH) resource configuration and spatial relation management to reduce UL data latency</w:t>
      </w:r>
      <w:bookmarkEnd w:id="738"/>
    </w:p>
    <w:p w14:paraId="684A87F9" w14:textId="77777777" w:rsidR="00BD5CCB" w:rsidRDefault="00BD5CCB" w:rsidP="00BD5CCB">
      <w:pPr>
        <w:pStyle w:val="BodyText"/>
      </w:pPr>
    </w:p>
    <w:p w14:paraId="0E4F4E1A" w14:textId="77777777" w:rsidR="00BD5CCB" w:rsidRPr="0035235B" w:rsidRDefault="00BD5CCB" w:rsidP="00BD5CCB">
      <w:pPr>
        <w:pStyle w:val="BodyText"/>
        <w:rPr>
          <w:b/>
          <w:u w:val="single"/>
        </w:rPr>
      </w:pPr>
      <w:proofErr w:type="spellStart"/>
      <w:r w:rsidRPr="0035235B">
        <w:rPr>
          <w:b/>
          <w:u w:val="single"/>
        </w:rPr>
        <w:t>gNB</w:t>
      </w:r>
      <w:proofErr w:type="spellEnd"/>
      <w:r w:rsidRPr="0035235B">
        <w:rPr>
          <w:b/>
          <w:u w:val="single"/>
        </w:rPr>
        <w:t xml:space="preserve"> </w:t>
      </w:r>
      <w:r>
        <w:rPr>
          <w:b/>
          <w:u w:val="single"/>
        </w:rPr>
        <w:t>I</w:t>
      </w:r>
      <w:r w:rsidRPr="0035235B">
        <w:rPr>
          <w:b/>
          <w:u w:val="single"/>
        </w:rPr>
        <w:t xml:space="preserve">nitiated </w:t>
      </w:r>
      <w:r>
        <w:rPr>
          <w:b/>
          <w:u w:val="single"/>
        </w:rPr>
        <w:t>P</w:t>
      </w:r>
      <w:r w:rsidRPr="0035235B">
        <w:rPr>
          <w:b/>
          <w:u w:val="single"/>
        </w:rPr>
        <w:t xml:space="preserve">olling </w:t>
      </w:r>
    </w:p>
    <w:p w14:paraId="1373EB7A" w14:textId="77777777" w:rsidR="00BD5CCB" w:rsidRDefault="00BD5CCB" w:rsidP="00BD5CCB">
      <w:pPr>
        <w:pStyle w:val="BodyText"/>
        <w:rPr>
          <w:rStyle w:val="IvDbodytextChar"/>
        </w:rPr>
      </w:pPr>
      <w:r>
        <w:rPr>
          <w:rStyle w:val="IvDbodytextChar"/>
        </w:rPr>
        <w:t xml:space="preserve">An alternative approach is that instead of listening to periodic PUCCH resources for uplink scheduling requests, the </w:t>
      </w:r>
      <w:proofErr w:type="spellStart"/>
      <w:r>
        <w:rPr>
          <w:rStyle w:val="IvDbodytextChar"/>
        </w:rPr>
        <w:t>gNB</w:t>
      </w:r>
      <w:proofErr w:type="spellEnd"/>
      <w:r>
        <w:rPr>
          <w:rStyle w:val="IvDbodytextChar"/>
        </w:rPr>
        <w:t xml:space="preserve"> can transmit polling requests to UEs in connected mode for their UL buffer status. UEs that can decode the polling request can respond to the polling requests by transmitting polling responses in specific PUCCH or PUSCH resources. The </w:t>
      </w:r>
      <w:proofErr w:type="spellStart"/>
      <w:r>
        <w:rPr>
          <w:rStyle w:val="IvDbodytextChar"/>
        </w:rPr>
        <w:t>gNB</w:t>
      </w:r>
      <w:proofErr w:type="spellEnd"/>
      <w:r>
        <w:rPr>
          <w:rStyle w:val="IvDbodytextChar"/>
        </w:rPr>
        <w:t xml:space="preserve"> has control on the timing of the polling response, thus it can tune its RX beam appropriately to ensure successful reception of the polling response, thus reducing latency. Upon reception of a polling response indicating UL data available at a UE, the </w:t>
      </w:r>
      <w:proofErr w:type="spellStart"/>
      <w:r>
        <w:rPr>
          <w:rStyle w:val="IvDbodytextChar"/>
        </w:rPr>
        <w:t>gNB</w:t>
      </w:r>
      <w:proofErr w:type="spellEnd"/>
      <w:r>
        <w:rPr>
          <w:rStyle w:val="IvDbodytextChar"/>
        </w:rPr>
        <w:t xml:space="preserve"> can schedule UL data transmission for the UE using the conventional UL data transfer procedure.</w:t>
      </w:r>
    </w:p>
    <w:p w14:paraId="611D6B5A" w14:textId="77777777" w:rsidR="00BD5CCB" w:rsidRDefault="00BD5CCB" w:rsidP="00BD5CCB">
      <w:pPr>
        <w:pStyle w:val="BodyText"/>
      </w:pPr>
      <w:r>
        <w:t xml:space="preserve">In response to the polling request, the UEs with nonempty UL data buffers can report the buffer status in a UCI using a pre-configured PUCCH resource. UEs with empty UL data buffer may either transmit a zero data volume indication, or simply ignore the polling request. This approach can be considered as a sort of aperiodic Scheduling Request. In contrast to the periodic Scheduling Request mechanism in current NR, where a SR transmission is initiated by the UE in a periodic PUCCH transmission occasion, the polling mechanism enables </w:t>
      </w:r>
      <w:proofErr w:type="spellStart"/>
      <w:r>
        <w:t>gNB</w:t>
      </w:r>
      <w:proofErr w:type="spellEnd"/>
      <w:r>
        <w:t xml:space="preserve"> to dynamically trigger SR transmission from the UE. By this mean, </w:t>
      </w:r>
      <w:proofErr w:type="spellStart"/>
      <w:r>
        <w:t>gNB</w:t>
      </w:r>
      <w:proofErr w:type="spellEnd"/>
      <w:r>
        <w:t xml:space="preserve"> </w:t>
      </w:r>
      <w:proofErr w:type="gramStart"/>
      <w:r>
        <w:t>is able to</w:t>
      </w:r>
      <w:proofErr w:type="gramEnd"/>
      <w:r>
        <w:t xml:space="preserve"> coordinate SR transmission to achieve more efficient spatial sweeping of SR detection, more flexible resource scheduling and better latency control. For example, the </w:t>
      </w:r>
      <w:proofErr w:type="spellStart"/>
      <w:r>
        <w:t>gNB</w:t>
      </w:r>
      <w:proofErr w:type="spellEnd"/>
      <w:r>
        <w:t xml:space="preserve"> can configure each UE with a PUCCH spatial relation given by a </w:t>
      </w:r>
      <w:proofErr w:type="gramStart"/>
      <w:r>
        <w:t>particular SSB</w:t>
      </w:r>
      <w:proofErr w:type="gramEnd"/>
      <w:r>
        <w:t xml:space="preserve">. Then, if the </w:t>
      </w:r>
      <w:proofErr w:type="spellStart"/>
      <w:r>
        <w:t>gNB</w:t>
      </w:r>
      <w:proofErr w:type="spellEnd"/>
      <w:r>
        <w:t xml:space="preserve"> sweeps its receive beam according to the SSB directions for different occasions of the periodic PUCCH resource, it can trigger the SR for a particular UE just prior to the PUCCH occasion for which it knows the UEs transmit beam will be aligned with the </w:t>
      </w:r>
      <w:proofErr w:type="spellStart"/>
      <w:r>
        <w:t>gNB’s</w:t>
      </w:r>
      <w:proofErr w:type="spellEnd"/>
      <w:r>
        <w:t xml:space="preserve"> receive beam. In this way, it is avoided that the UE transmits SRs that will be lost due to the </w:t>
      </w:r>
      <w:proofErr w:type="spellStart"/>
      <w:r>
        <w:t>gNB</w:t>
      </w:r>
      <w:proofErr w:type="spellEnd"/>
      <w:r>
        <w:t xml:space="preserve"> not listening in the correct direction.</w:t>
      </w:r>
    </w:p>
    <w:p w14:paraId="40AC5933" w14:textId="62F625DC" w:rsidR="00BD5CCB" w:rsidRPr="004E1EE6" w:rsidRDefault="00BD5CCB" w:rsidP="00BD5CCB">
      <w:pPr>
        <w:pStyle w:val="BodyText"/>
      </w:pPr>
    </w:p>
    <w:p w14:paraId="2EE6DCE2" w14:textId="0013A2C5" w:rsidR="00BD5CCB" w:rsidRDefault="00682963" w:rsidP="00BD5CCB">
      <w:pPr>
        <w:pStyle w:val="Proposal"/>
      </w:pPr>
      <w:bookmarkStart w:id="739" w:name="_Toc53776238"/>
      <w:r>
        <w:t xml:space="preserve">Capture the following observation in TR 38.808: For operation in the 52.6 – 71 GHz band, consider </w:t>
      </w:r>
      <w:proofErr w:type="spellStart"/>
      <w:r w:rsidR="00BD5CCB" w:rsidRPr="00FE2D5C">
        <w:t>gNB</w:t>
      </w:r>
      <w:proofErr w:type="spellEnd"/>
      <w:r w:rsidR="00BD5CCB" w:rsidRPr="00FE2D5C">
        <w:t xml:space="preserve"> initiated polling approach for UL traffic management to reduce UL data latency</w:t>
      </w:r>
      <w:r w:rsidR="00BD5CCB">
        <w:t>.</w:t>
      </w:r>
      <w:bookmarkEnd w:id="739"/>
    </w:p>
    <w:p w14:paraId="69B49E65" w14:textId="62F8C5BD" w:rsidR="00BD5CCB" w:rsidRDefault="00BD5CCB" w:rsidP="00BD5CCB">
      <w:pPr>
        <w:pStyle w:val="BodyText"/>
      </w:pPr>
    </w:p>
    <w:p w14:paraId="7CC6C331" w14:textId="5A2C8804" w:rsidR="00C81EDA" w:rsidRDefault="00C81EDA" w:rsidP="00C81EDA">
      <w:pPr>
        <w:pStyle w:val="Heading2"/>
      </w:pPr>
      <w:bookmarkStart w:id="740" w:name="_Toc53775914"/>
      <w:r>
        <w:t>4.</w:t>
      </w:r>
      <w:r w:rsidR="00A7546B">
        <w:t>5</w:t>
      </w:r>
      <w:r>
        <w:tab/>
        <w:t>Beam management</w:t>
      </w:r>
      <w:bookmarkEnd w:id="740"/>
    </w:p>
    <w:p w14:paraId="1B94DEFD" w14:textId="726AD57D" w:rsidR="00C81EDA" w:rsidRDefault="002B1059" w:rsidP="00C81EDA">
      <w:pPr>
        <w:rPr>
          <w:lang w:val="en-GB"/>
        </w:rPr>
      </w:pPr>
      <w:r w:rsidRPr="00E90E9C">
        <w:rPr>
          <w:noProof/>
        </w:rPr>
        <mc:AlternateContent>
          <mc:Choice Requires="wps">
            <w:drawing>
              <wp:inline distT="0" distB="0" distL="0" distR="0" wp14:anchorId="2CA556FE" wp14:editId="5E07080B">
                <wp:extent cx="6096000" cy="1404620"/>
                <wp:effectExtent l="0" t="0" r="19050" b="22225"/>
                <wp:docPr id="12393409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1404620"/>
                        </a:xfrm>
                        <a:prstGeom prst="rect">
                          <a:avLst/>
                        </a:prstGeom>
                        <a:solidFill>
                          <a:srgbClr val="FFFFFF"/>
                        </a:solidFill>
                        <a:ln w="9525">
                          <a:solidFill>
                            <a:srgbClr val="000000"/>
                          </a:solidFill>
                          <a:miter lim="800000"/>
                          <a:headEnd/>
                          <a:tailEnd/>
                        </a:ln>
                      </wps:spPr>
                      <wps:txbx>
                        <w:txbxContent>
                          <w:p w14:paraId="676738B4" w14:textId="77777777" w:rsidR="00BE31F7" w:rsidRPr="00B15494" w:rsidRDefault="00BE31F7" w:rsidP="002B1059">
                            <w:pPr>
                              <w:spacing w:after="0"/>
                              <w:rPr>
                                <w:sz w:val="24"/>
                                <w:szCs w:val="24"/>
                              </w:rPr>
                            </w:pPr>
                            <w:r w:rsidRPr="00B15494">
                              <w:rPr>
                                <w:rFonts w:ascii="Times" w:eastAsia="Batang" w:hAnsi="Times"/>
                                <w:color w:val="181818"/>
                                <w:spacing w:val="-6"/>
                                <w:kern w:val="20"/>
                                <w:highlight w:val="green"/>
                              </w:rPr>
                              <w:t>Agreement</w:t>
                            </w:r>
                            <w:r w:rsidRPr="00B15494">
                              <w:rPr>
                                <w:rFonts w:ascii="Times" w:eastAsia="Batang" w:hAnsi="Times"/>
                                <w:color w:val="181818"/>
                                <w:spacing w:val="-6"/>
                                <w:kern w:val="20"/>
                              </w:rPr>
                              <w:t>:</w:t>
                            </w:r>
                          </w:p>
                          <w:p w14:paraId="7DF747B3" w14:textId="77777777" w:rsidR="00BE31F7" w:rsidRPr="00B15494" w:rsidRDefault="00BE31F7" w:rsidP="002B1059">
                            <w:pPr>
                              <w:spacing w:after="0"/>
                              <w:rPr>
                                <w:sz w:val="24"/>
                                <w:szCs w:val="24"/>
                              </w:rPr>
                            </w:pPr>
                            <w:r w:rsidRPr="00B15494">
                              <w:rPr>
                                <w:rFonts w:ascii="Times" w:eastAsia="Batang" w:hAnsi="Times"/>
                                <w:color w:val="181818"/>
                                <w:spacing w:val="-6"/>
                                <w:kern w:val="20"/>
                              </w:rPr>
                              <w:t xml:space="preserve">Consider at least the following aspects in system operations with beams </w:t>
                            </w:r>
                          </w:p>
                          <w:p w14:paraId="128696F7" w14:textId="77777777" w:rsidR="00BE31F7" w:rsidRPr="00B15494" w:rsidRDefault="00BE31F7" w:rsidP="002B1059">
                            <w:pPr>
                              <w:numPr>
                                <w:ilvl w:val="0"/>
                                <w:numId w:val="48"/>
                              </w:numPr>
                              <w:overflowPunct/>
                              <w:autoSpaceDE/>
                              <w:autoSpaceDN/>
                              <w:adjustRightInd/>
                              <w:spacing w:after="0"/>
                              <w:ind w:left="1267"/>
                              <w:contextualSpacing/>
                              <w:rPr>
                                <w:color w:val="181818"/>
                                <w:szCs w:val="24"/>
                              </w:rPr>
                            </w:pPr>
                            <w:r w:rsidRPr="00B15494">
                              <w:rPr>
                                <w:rFonts w:ascii="Times" w:eastAsia="Batang" w:hAnsi="Times"/>
                                <w:color w:val="181818"/>
                                <w:spacing w:val="-6"/>
                                <w:kern w:val="20"/>
                              </w:rPr>
                              <w:t>Study of BFR mechanism enhancements, if supported</w:t>
                            </w:r>
                          </w:p>
                          <w:p w14:paraId="505A3BCD" w14:textId="77777777" w:rsidR="00BE31F7" w:rsidRPr="00B15494" w:rsidRDefault="00BE31F7" w:rsidP="002B1059">
                            <w:pPr>
                              <w:numPr>
                                <w:ilvl w:val="1"/>
                                <w:numId w:val="48"/>
                              </w:numPr>
                              <w:overflowPunct/>
                              <w:autoSpaceDE/>
                              <w:autoSpaceDN/>
                              <w:adjustRightInd/>
                              <w:spacing w:after="0"/>
                              <w:ind w:left="2606"/>
                              <w:contextualSpacing/>
                              <w:rPr>
                                <w:color w:val="181818"/>
                                <w:szCs w:val="24"/>
                              </w:rPr>
                            </w:pPr>
                            <w:r w:rsidRPr="00B15494">
                              <w:rPr>
                                <w:rFonts w:ascii="Times" w:eastAsia="Batang" w:hAnsi="Times"/>
                                <w:color w:val="181818"/>
                                <w:spacing w:val="-6"/>
                                <w:kern w:val="20"/>
                              </w:rPr>
                              <w:t xml:space="preserve">e.g., the use of aperiodic CSI-RS for BFR, increased number of RSs for monitoring/candidates and efficient utilization of the increased number of RSs, enhanced reliability to cope with narrower </w:t>
                            </w:r>
                            <w:proofErr w:type="spellStart"/>
                            <w:r w:rsidRPr="00B15494">
                              <w:rPr>
                                <w:rFonts w:ascii="Times" w:eastAsia="Batang" w:hAnsi="Times"/>
                                <w:color w:val="181818"/>
                                <w:spacing w:val="-6"/>
                                <w:kern w:val="20"/>
                              </w:rPr>
                              <w:t>beamwidth</w:t>
                            </w:r>
                            <w:proofErr w:type="spellEnd"/>
                          </w:p>
                          <w:p w14:paraId="30B4F88C" w14:textId="77777777" w:rsidR="00BE31F7" w:rsidRPr="00B15494" w:rsidRDefault="00BE31F7" w:rsidP="002B1059">
                            <w:pPr>
                              <w:numPr>
                                <w:ilvl w:val="0"/>
                                <w:numId w:val="48"/>
                              </w:numPr>
                              <w:overflowPunct/>
                              <w:autoSpaceDE/>
                              <w:autoSpaceDN/>
                              <w:adjustRightInd/>
                              <w:spacing w:after="0"/>
                              <w:ind w:left="1267"/>
                              <w:contextualSpacing/>
                              <w:rPr>
                                <w:color w:val="181818"/>
                                <w:szCs w:val="24"/>
                              </w:rPr>
                            </w:pPr>
                            <w:r w:rsidRPr="00B15494">
                              <w:rPr>
                                <w:rFonts w:ascii="Times" w:eastAsia="Batang" w:hAnsi="Times"/>
                                <w:color w:val="181818"/>
                                <w:spacing w:val="-6"/>
                                <w:kern w:val="20"/>
                              </w:rPr>
                              <w:t>Study of UE capabilities on beam switch timing in beam management procedure</w:t>
                            </w:r>
                          </w:p>
                          <w:p w14:paraId="29AFDADE" w14:textId="77777777" w:rsidR="00BE31F7" w:rsidRPr="00B15494" w:rsidRDefault="00BE31F7" w:rsidP="002B1059">
                            <w:pPr>
                              <w:numPr>
                                <w:ilvl w:val="0"/>
                                <w:numId w:val="48"/>
                              </w:numPr>
                              <w:overflowPunct/>
                              <w:autoSpaceDE/>
                              <w:autoSpaceDN/>
                              <w:adjustRightInd/>
                              <w:spacing w:after="0"/>
                              <w:ind w:left="1267"/>
                              <w:contextualSpacing/>
                              <w:rPr>
                                <w:color w:val="181818"/>
                                <w:szCs w:val="24"/>
                              </w:rPr>
                            </w:pPr>
                            <w:r w:rsidRPr="004F69A1">
                              <w:rPr>
                                <w:rFonts w:ascii="Times" w:eastAsia="Batang" w:hAnsi="Times"/>
                                <w:color w:val="181818"/>
                                <w:spacing w:val="-6"/>
                                <w:kern w:val="20"/>
                                <w:highlight w:val="yellow"/>
                              </w:rPr>
                              <w:t>Study of enhancements for beam management and corresponding RS(s) in DL and UL</w:t>
                            </w:r>
                            <w:r w:rsidRPr="00B15494">
                              <w:rPr>
                                <w:rFonts w:ascii="Times" w:eastAsia="Batang" w:hAnsi="Times"/>
                                <w:color w:val="181818"/>
                                <w:spacing w:val="-6"/>
                                <w:kern w:val="20"/>
                              </w:rPr>
                              <w:t xml:space="preserve"> are needed further considering at least the following aspects, if supported:</w:t>
                            </w:r>
                          </w:p>
                          <w:p w14:paraId="5A6C3F7A" w14:textId="77777777" w:rsidR="00BE31F7" w:rsidRPr="00B15494" w:rsidRDefault="00BE31F7" w:rsidP="002B1059">
                            <w:pPr>
                              <w:numPr>
                                <w:ilvl w:val="1"/>
                                <w:numId w:val="48"/>
                              </w:numPr>
                              <w:overflowPunct/>
                              <w:autoSpaceDE/>
                              <w:autoSpaceDN/>
                              <w:adjustRightInd/>
                              <w:spacing w:after="0"/>
                              <w:ind w:left="2606"/>
                              <w:contextualSpacing/>
                              <w:rPr>
                                <w:color w:val="181818"/>
                                <w:szCs w:val="24"/>
                              </w:rPr>
                            </w:pPr>
                            <w:r w:rsidRPr="00B15494">
                              <w:rPr>
                                <w:rFonts w:ascii="Times" w:eastAsia="Batang" w:hAnsi="Times"/>
                                <w:color w:val="181818"/>
                                <w:spacing w:val="-6"/>
                                <w:kern w:val="20"/>
                              </w:rPr>
                              <w:t>beam switching time, beam alignment delay (including initial access), LBT failure, and potential coverage loss (if large SCS is supported)</w:t>
                            </w:r>
                          </w:p>
                          <w:p w14:paraId="05CC1A71" w14:textId="77777777" w:rsidR="00BE31F7" w:rsidRPr="00E90E9C" w:rsidRDefault="00BE31F7" w:rsidP="002B1059">
                            <w:pPr>
                              <w:numPr>
                                <w:ilvl w:val="0"/>
                                <w:numId w:val="48"/>
                              </w:numPr>
                              <w:overflowPunct/>
                              <w:autoSpaceDE/>
                              <w:autoSpaceDN/>
                              <w:adjustRightInd/>
                              <w:spacing w:after="0"/>
                              <w:ind w:left="1267"/>
                              <w:contextualSpacing/>
                              <w:rPr>
                                <w:color w:val="181818"/>
                                <w:szCs w:val="24"/>
                              </w:rPr>
                            </w:pPr>
                            <w:r w:rsidRPr="004F69A1">
                              <w:rPr>
                                <w:rFonts w:ascii="Times" w:eastAsia="Batang" w:hAnsi="Times"/>
                                <w:color w:val="181818"/>
                                <w:spacing w:val="-6"/>
                                <w:kern w:val="20"/>
                                <w:highlight w:val="yellow"/>
                              </w:rPr>
                              <w:t>Study of beam switching gap handling for signals/channels (e.g. CSI-RS, PDSCH, SRS, PUSCH) for higher subcarriers spacing, if supported</w:t>
                            </w:r>
                          </w:p>
                        </w:txbxContent>
                      </wps:txbx>
                      <wps:bodyPr rot="0" vert="horz" wrap="square" lIns="91440" tIns="45720" rIns="91440" bIns="45720" anchor="t" anchorCtr="0">
                        <a:spAutoFit/>
                      </wps:bodyPr>
                    </wps:wsp>
                  </a:graphicData>
                </a:graphic>
              </wp:inline>
            </w:drawing>
          </mc:Choice>
          <mc:Fallback>
            <w:pict>
              <v:shape w14:anchorId="2CA556FE" id="_x0000_s1037" type="#_x0000_t202" style="width:480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">
                <v:textbox style="mso-fit-shape-to-text:t">
                  <w:txbxContent>
                    <w:p w14:paraId="676738B4" w14:textId="77777777" w:rsidR="00BE31F7" w:rsidRPr="00B15494" w:rsidRDefault="00BE31F7" w:rsidP="002B1059">
                      <w:pPr>
                        <w:spacing w:after="0"/>
                        <w:rPr>
                          <w:sz w:val="24"/>
                          <w:szCs w:val="24"/>
                        </w:rPr>
                      </w:pPr>
                      <w:r w:rsidRPr="00B15494">
                        <w:rPr>
                          <w:rFonts w:ascii="Times" w:eastAsia="Batang" w:hAnsi="Times"/>
                          <w:color w:val="181818"/>
                          <w:spacing w:val="-6"/>
                          <w:kern w:val="20"/>
                          <w:highlight w:val="green"/>
                        </w:rPr>
                        <w:t>Agreement</w:t>
                      </w:r>
                      <w:r w:rsidRPr="00B15494">
                        <w:rPr>
                          <w:rFonts w:ascii="Times" w:eastAsia="Batang" w:hAnsi="Times"/>
                          <w:color w:val="181818"/>
                          <w:spacing w:val="-6"/>
                          <w:kern w:val="20"/>
                        </w:rPr>
                        <w:t>:</w:t>
                      </w:r>
                    </w:p>
                    <w:p w14:paraId="7DF747B3" w14:textId="77777777" w:rsidR="00BE31F7" w:rsidRPr="00B15494" w:rsidRDefault="00BE31F7" w:rsidP="002B1059">
                      <w:pPr>
                        <w:spacing w:after="0"/>
                        <w:rPr>
                          <w:sz w:val="24"/>
                          <w:szCs w:val="24"/>
                        </w:rPr>
                      </w:pPr>
                      <w:r w:rsidRPr="00B15494">
                        <w:rPr>
                          <w:rFonts w:ascii="Times" w:eastAsia="Batang" w:hAnsi="Times"/>
                          <w:color w:val="181818"/>
                          <w:spacing w:val="-6"/>
                          <w:kern w:val="20"/>
                        </w:rPr>
                        <w:t xml:space="preserve">Consider at least the following aspects in system operations with beams </w:t>
                      </w:r>
                    </w:p>
                    <w:p w14:paraId="128696F7" w14:textId="77777777" w:rsidR="00BE31F7" w:rsidRPr="00B15494" w:rsidRDefault="00BE31F7" w:rsidP="002B1059">
                      <w:pPr>
                        <w:numPr>
                          <w:ilvl w:val="0"/>
                          <w:numId w:val="48"/>
                        </w:numPr>
                        <w:overflowPunct/>
                        <w:autoSpaceDE/>
                        <w:autoSpaceDN/>
                        <w:adjustRightInd/>
                        <w:spacing w:after="0"/>
                        <w:ind w:left="1267"/>
                        <w:contextualSpacing/>
                        <w:rPr>
                          <w:color w:val="181818"/>
                          <w:szCs w:val="24"/>
                        </w:rPr>
                      </w:pPr>
                      <w:r w:rsidRPr="00B15494">
                        <w:rPr>
                          <w:rFonts w:ascii="Times" w:eastAsia="Batang" w:hAnsi="Times"/>
                          <w:color w:val="181818"/>
                          <w:spacing w:val="-6"/>
                          <w:kern w:val="20"/>
                        </w:rPr>
                        <w:t>Study of BFR mechanism enhancements, if supported</w:t>
                      </w:r>
                    </w:p>
                    <w:p w14:paraId="505A3BCD" w14:textId="77777777" w:rsidR="00BE31F7" w:rsidRPr="00B15494" w:rsidRDefault="00BE31F7" w:rsidP="002B1059">
                      <w:pPr>
                        <w:numPr>
                          <w:ilvl w:val="1"/>
                          <w:numId w:val="48"/>
                        </w:numPr>
                        <w:overflowPunct/>
                        <w:autoSpaceDE/>
                        <w:autoSpaceDN/>
                        <w:adjustRightInd/>
                        <w:spacing w:after="0"/>
                        <w:ind w:left="2606"/>
                        <w:contextualSpacing/>
                        <w:rPr>
                          <w:color w:val="181818"/>
                          <w:szCs w:val="24"/>
                        </w:rPr>
                      </w:pPr>
                      <w:r w:rsidRPr="00B15494">
                        <w:rPr>
                          <w:rFonts w:ascii="Times" w:eastAsia="Batang" w:hAnsi="Times"/>
                          <w:color w:val="181818"/>
                          <w:spacing w:val="-6"/>
                          <w:kern w:val="20"/>
                        </w:rPr>
                        <w:t xml:space="preserve">e.g., the use of aperiodic CSI-RS for BFR, increased number of RSs for monitoring/candidates and efficient utilization of the increased number of RSs, enhanced reliability to cope with narrower </w:t>
                      </w:r>
                      <w:proofErr w:type="spellStart"/>
                      <w:r w:rsidRPr="00B15494">
                        <w:rPr>
                          <w:rFonts w:ascii="Times" w:eastAsia="Batang" w:hAnsi="Times"/>
                          <w:color w:val="181818"/>
                          <w:spacing w:val="-6"/>
                          <w:kern w:val="20"/>
                        </w:rPr>
                        <w:t>beamwidth</w:t>
                      </w:r>
                      <w:proofErr w:type="spellEnd"/>
                    </w:p>
                    <w:p w14:paraId="30B4F88C" w14:textId="77777777" w:rsidR="00BE31F7" w:rsidRPr="00B15494" w:rsidRDefault="00BE31F7" w:rsidP="002B1059">
                      <w:pPr>
                        <w:numPr>
                          <w:ilvl w:val="0"/>
                          <w:numId w:val="48"/>
                        </w:numPr>
                        <w:overflowPunct/>
                        <w:autoSpaceDE/>
                        <w:autoSpaceDN/>
                        <w:adjustRightInd/>
                        <w:spacing w:after="0"/>
                        <w:ind w:left="1267"/>
                        <w:contextualSpacing/>
                        <w:rPr>
                          <w:color w:val="181818"/>
                          <w:szCs w:val="24"/>
                        </w:rPr>
                      </w:pPr>
                      <w:r w:rsidRPr="00B15494">
                        <w:rPr>
                          <w:rFonts w:ascii="Times" w:eastAsia="Batang" w:hAnsi="Times"/>
                          <w:color w:val="181818"/>
                          <w:spacing w:val="-6"/>
                          <w:kern w:val="20"/>
                        </w:rPr>
                        <w:t>Study of UE capabilities on beam switch timing in beam management procedure</w:t>
                      </w:r>
                    </w:p>
                    <w:p w14:paraId="29AFDADE" w14:textId="77777777" w:rsidR="00BE31F7" w:rsidRPr="00B15494" w:rsidRDefault="00BE31F7" w:rsidP="002B1059">
                      <w:pPr>
                        <w:numPr>
                          <w:ilvl w:val="0"/>
                          <w:numId w:val="48"/>
                        </w:numPr>
                        <w:overflowPunct/>
                        <w:autoSpaceDE/>
                        <w:autoSpaceDN/>
                        <w:adjustRightInd/>
                        <w:spacing w:after="0"/>
                        <w:ind w:left="1267"/>
                        <w:contextualSpacing/>
                        <w:rPr>
                          <w:color w:val="181818"/>
                          <w:szCs w:val="24"/>
                        </w:rPr>
                      </w:pPr>
                      <w:r w:rsidRPr="004F69A1">
                        <w:rPr>
                          <w:rFonts w:ascii="Times" w:eastAsia="Batang" w:hAnsi="Times"/>
                          <w:color w:val="181818"/>
                          <w:spacing w:val="-6"/>
                          <w:kern w:val="20"/>
                          <w:highlight w:val="yellow"/>
                        </w:rPr>
                        <w:t>Study of enhancements for beam management and corresponding RS(s) in DL and UL</w:t>
                      </w:r>
                      <w:r w:rsidRPr="00B15494">
                        <w:rPr>
                          <w:rFonts w:ascii="Times" w:eastAsia="Batang" w:hAnsi="Times"/>
                          <w:color w:val="181818"/>
                          <w:spacing w:val="-6"/>
                          <w:kern w:val="20"/>
                        </w:rPr>
                        <w:t xml:space="preserve"> are needed further considering at least the following aspects, if supported:</w:t>
                      </w:r>
                    </w:p>
                    <w:p w14:paraId="5A6C3F7A" w14:textId="77777777" w:rsidR="00BE31F7" w:rsidRPr="00B15494" w:rsidRDefault="00BE31F7" w:rsidP="002B1059">
                      <w:pPr>
                        <w:numPr>
                          <w:ilvl w:val="1"/>
                          <w:numId w:val="48"/>
                        </w:numPr>
                        <w:overflowPunct/>
                        <w:autoSpaceDE/>
                        <w:autoSpaceDN/>
                        <w:adjustRightInd/>
                        <w:spacing w:after="0"/>
                        <w:ind w:left="2606"/>
                        <w:contextualSpacing/>
                        <w:rPr>
                          <w:color w:val="181818"/>
                          <w:szCs w:val="24"/>
                        </w:rPr>
                      </w:pPr>
                      <w:r w:rsidRPr="00B15494">
                        <w:rPr>
                          <w:rFonts w:ascii="Times" w:eastAsia="Batang" w:hAnsi="Times"/>
                          <w:color w:val="181818"/>
                          <w:spacing w:val="-6"/>
                          <w:kern w:val="20"/>
                        </w:rPr>
                        <w:t>beam switching time, beam alignment delay (including initial access), LBT failure, and potential coverage loss (if large SCS is supported)</w:t>
                      </w:r>
                    </w:p>
                    <w:p w14:paraId="05CC1A71" w14:textId="77777777" w:rsidR="00BE31F7" w:rsidRPr="00E90E9C" w:rsidRDefault="00BE31F7" w:rsidP="002B1059">
                      <w:pPr>
                        <w:numPr>
                          <w:ilvl w:val="0"/>
                          <w:numId w:val="48"/>
                        </w:numPr>
                        <w:overflowPunct/>
                        <w:autoSpaceDE/>
                        <w:autoSpaceDN/>
                        <w:adjustRightInd/>
                        <w:spacing w:after="0"/>
                        <w:ind w:left="1267"/>
                        <w:contextualSpacing/>
                        <w:rPr>
                          <w:color w:val="181818"/>
                          <w:szCs w:val="24"/>
                        </w:rPr>
                      </w:pPr>
                      <w:r w:rsidRPr="004F69A1">
                        <w:rPr>
                          <w:rFonts w:ascii="Times" w:eastAsia="Batang" w:hAnsi="Times"/>
                          <w:color w:val="181818"/>
                          <w:spacing w:val="-6"/>
                          <w:kern w:val="20"/>
                          <w:highlight w:val="yellow"/>
                        </w:rPr>
                        <w:t>Study of beam switching gap handling for signals/channels (e.g. CSI-RS, PDSCH, SRS, PUSCH) for higher subcarriers spacing, if supported</w:t>
                      </w:r>
                    </w:p>
                  </w:txbxContent>
                </v:textbox>
                <w10:anchorlock/>
              </v:shape>
            </w:pict>
          </mc:Fallback>
        </mc:AlternateContent>
      </w:r>
    </w:p>
    <w:p w14:paraId="03D24F3D" w14:textId="4B5F12B0" w:rsidR="00A800D0" w:rsidRPr="004F69A1" w:rsidRDefault="00A800D0">
      <w:pPr>
        <w:pStyle w:val="BodyText"/>
        <w:rPr>
          <w:b/>
          <w:bCs/>
          <w:u w:val="single"/>
        </w:rPr>
      </w:pPr>
      <w:r w:rsidRPr="004F69A1">
        <w:rPr>
          <w:b/>
          <w:bCs/>
          <w:u w:val="single"/>
        </w:rPr>
        <w:t>Multi-slot triggering of aperiodic CSI-RS/SRS resources</w:t>
      </w:r>
    </w:p>
    <w:p w14:paraId="3751217D" w14:textId="590C418D" w:rsidR="00865755" w:rsidRDefault="00865755">
      <w:pPr>
        <w:pStyle w:val="BodyText"/>
      </w:pPr>
      <w:r>
        <w:t>In Section 4.4.1 we propose extending the ability to schedule multiple P</w:t>
      </w:r>
      <w:r w:rsidR="00BE31F7">
        <w:t>D</w:t>
      </w:r>
      <w:r>
        <w:t>SCHs with a single DCI to the downlink whereby a single DCI can schedule PDSCHs in multiple slots. This not only saves on DCI overhead, but also makes it possible to operate with lower PDCCH monitoring granularity without compromising on scheduling granularity. In return, lower PDCCH monitoring granularity will result in significant UE power consumption savings.</w:t>
      </w:r>
    </w:p>
    <w:p w14:paraId="328E0A57" w14:textId="013B98C0" w:rsidR="004D18F4" w:rsidRDefault="00A800D0">
      <w:pPr>
        <w:pStyle w:val="BodyText"/>
      </w:pPr>
      <w:r>
        <w:t>Addressing the first highlighted FFS in the above agreement, t</w:t>
      </w:r>
      <w:r w:rsidR="00865755">
        <w:t xml:space="preserve">he same functionality </w:t>
      </w:r>
      <w:r>
        <w:t xml:space="preserve">as for PDSCH/PUSCH </w:t>
      </w:r>
      <w:r w:rsidR="00865755">
        <w:t xml:space="preserve">is suitable, and indeed beneficial, when it comes to triggering </w:t>
      </w:r>
      <w:r w:rsidR="004D2E5A">
        <w:t xml:space="preserve">of aperiodic CSI-RS and SRS resources for the purposes of beam management. This is further motivated by the fact that for operation in the 52.6 – 71 GHz band, </w:t>
      </w:r>
      <w:proofErr w:type="gramStart"/>
      <w:r w:rsidR="004D2E5A">
        <w:t>a large number of</w:t>
      </w:r>
      <w:proofErr w:type="gramEnd"/>
      <w:r w:rsidR="004D2E5A">
        <w:t xml:space="preserve"> beams are expected to be used; hence, it is beneficial to be able to trigger (schedule) </w:t>
      </w:r>
      <w:r w:rsidR="004D2E5A">
        <w:lastRenderedPageBreak/>
        <w:t xml:space="preserve">those resources over multiple slots. In this case, the UE could be configured to measure and report over the aggregated (super set) of resources spanning those slots, e.g., reporting the top-N beams and their associated RSRPs. This is illustrated in </w:t>
      </w:r>
      <w:r w:rsidR="004D2E5A">
        <w:fldChar w:fldCharType="begin"/>
      </w:r>
      <w:r w:rsidR="004D2E5A">
        <w:instrText xml:space="preserve"> REF _Ref52812639 \h </w:instrText>
      </w:r>
      <w:r w:rsidR="004D2E5A">
        <w:fldChar w:fldCharType="separate"/>
      </w:r>
      <w:r w:rsidR="00BE31F7">
        <w:t xml:space="preserve">Figure </w:t>
      </w:r>
      <w:r w:rsidR="00BE31F7">
        <w:rPr>
          <w:noProof/>
        </w:rPr>
        <w:t>50</w:t>
      </w:r>
      <w:r w:rsidR="004D2E5A">
        <w:fldChar w:fldCharType="end"/>
      </w:r>
      <w:r w:rsidR="004D2E5A">
        <w:t xml:space="preserve"> where 4 CSI-RS resource sets are triggered with a single DCI. We note that Rel-15/16 </w:t>
      </w:r>
      <w:r w:rsidR="004D18F4">
        <w:t>supports triggering of multiple CSI reports (e.g., L1-RSRP reports) with a single DCI, where each report is linked to a single CSI-RS resource set confined to a single slot; however, the UE prepares separate L1-RSRP reports corresponding to each resource set. For Rel-17, it would be beneficial to enhance this functionality to trigger multiple CSI-RS sets associated with the same CSI report. With this enhancement, the UE would evaluate best beam or top-N beams over the aggregate (super-set) of CSI-RS resources.</w:t>
      </w:r>
    </w:p>
    <w:p w14:paraId="37D2B6AB" w14:textId="7D1B3F95" w:rsidR="004D2E5A" w:rsidRPr="004F69A1" w:rsidRDefault="00F77820" w:rsidP="004D2E5A">
      <w:pPr>
        <w:pStyle w:val="IvDInstructiontext"/>
        <w:keepNext/>
        <w:jc w:val="center"/>
        <w:rPr>
          <w:i w:val="0"/>
          <w:iCs/>
        </w:rPr>
      </w:pPr>
      <w:r>
        <w:rPr>
          <w:i w:val="0"/>
          <w:iCs/>
          <w:noProof/>
        </w:rPr>
        <w:drawing>
          <wp:inline distT="0" distB="0" distL="0" distR="0" wp14:anchorId="431F0B14" wp14:editId="19633490">
            <wp:extent cx="4572000" cy="1005840"/>
            <wp:effectExtent l="0" t="0" r="0" b="3810"/>
            <wp:docPr id="1614471056" name="Picture 161447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572000" cy="1005840"/>
                    </a:xfrm>
                    <a:prstGeom prst="rect">
                      <a:avLst/>
                    </a:prstGeom>
                    <a:noFill/>
                  </pic:spPr>
                </pic:pic>
              </a:graphicData>
            </a:graphic>
          </wp:inline>
        </w:drawing>
      </w:r>
    </w:p>
    <w:p w14:paraId="29B68F0C" w14:textId="7F6B1EBA" w:rsidR="004D2E5A" w:rsidRDefault="004D2E5A" w:rsidP="004F69A1">
      <w:pPr>
        <w:pStyle w:val="Caption"/>
        <w:jc w:val="center"/>
      </w:pPr>
      <w:bookmarkStart w:id="741" w:name="_Ref52812639"/>
      <w:r>
        <w:t xml:space="preserve">Figure </w:t>
      </w:r>
      <w:fldSimple w:instr=" SEQ Figure \* ARABIC ">
        <w:r w:rsidR="00BE31F7">
          <w:rPr>
            <w:noProof/>
          </w:rPr>
          <w:t>50</w:t>
        </w:r>
      </w:fldSimple>
      <w:bookmarkEnd w:id="741"/>
      <w:r>
        <w:t>: Multi-slot aperiodic CSI-RS triggering with single DCI.</w:t>
      </w:r>
    </w:p>
    <w:p w14:paraId="74AEEF3C" w14:textId="408CC38E" w:rsidR="004D2E5A" w:rsidRDefault="004D18F4">
      <w:pPr>
        <w:pStyle w:val="BodyText"/>
      </w:pPr>
      <w:r>
        <w:t>Similar functionality is useful for the case of aperiodic SRS resource sets where Rel-15/16 has quite limited flexibility for triggering multiple SRS resource sets, due in part to the limited number of DCI code points (SRS request field is only 2 bits).</w:t>
      </w:r>
    </w:p>
    <w:p w14:paraId="0480C94B" w14:textId="7336F4E7" w:rsidR="004D18F4" w:rsidRDefault="004D18F4">
      <w:pPr>
        <w:pStyle w:val="BodyText"/>
      </w:pPr>
      <w:r>
        <w:t>Based on this we propose the following</w:t>
      </w:r>
    </w:p>
    <w:p w14:paraId="1509726F" w14:textId="7F5A4D2C" w:rsidR="004D18F4" w:rsidRDefault="004D18F4" w:rsidP="004F69A1">
      <w:pPr>
        <w:pStyle w:val="Proposal"/>
      </w:pPr>
      <w:bookmarkStart w:id="742" w:name="_Toc53776239"/>
      <w:r>
        <w:t>Capture the following text in TR 38.808: For operation in the 52.6 – 71 GHz band, due to the large number of beams expected to be used, it is beneficial to enhance triggering of aperiodic CSI-RS and SRS resources to support flexible multi-slot triggering</w:t>
      </w:r>
      <w:r w:rsidR="00A800D0">
        <w:t xml:space="preserve"> with a single DCI.</w:t>
      </w:r>
      <w:bookmarkEnd w:id="742"/>
    </w:p>
    <w:p w14:paraId="18DAA36E" w14:textId="77777777" w:rsidR="00A800D0" w:rsidRDefault="00A800D0">
      <w:pPr>
        <w:pStyle w:val="BodyText"/>
      </w:pPr>
    </w:p>
    <w:p w14:paraId="78DC6D64" w14:textId="62A29B36" w:rsidR="00A800D0" w:rsidRPr="004F69A1" w:rsidRDefault="00A800D0">
      <w:pPr>
        <w:pStyle w:val="BodyText"/>
        <w:rPr>
          <w:b/>
          <w:bCs/>
          <w:u w:val="single"/>
        </w:rPr>
      </w:pPr>
      <w:r w:rsidRPr="004F69A1">
        <w:rPr>
          <w:b/>
          <w:bCs/>
          <w:u w:val="single"/>
        </w:rPr>
        <w:t>Beam switching gaps</w:t>
      </w:r>
    </w:p>
    <w:p w14:paraId="0AAC8748" w14:textId="43D490D7" w:rsidR="00B11F62" w:rsidRDefault="00A800D0" w:rsidP="00B11F62">
      <w:pPr>
        <w:pStyle w:val="BodyText"/>
      </w:pPr>
      <w:r>
        <w:t xml:space="preserve">Regarding the second highlighted FFS in the above agreement, we point out that Rel-15/16 already supports quite flexible configuration of CSI-RS and SRS for beam management when it comes to the OFDM symbol allocation within a slot. </w:t>
      </w:r>
      <w:r w:rsidR="00B11F62">
        <w:t>For each CSI-RS resource in a CSI-RS resource set</w:t>
      </w:r>
      <w:r>
        <w:t xml:space="preserve">, the RRC parameter </w:t>
      </w:r>
      <w:proofErr w:type="spellStart"/>
      <w:r w:rsidRPr="004F69A1">
        <w:rPr>
          <w:rStyle w:val="IvDbodytextChar"/>
          <w:i/>
        </w:rPr>
        <w:t>firstOFDMSymbolInTimeDomain</w:t>
      </w:r>
      <w:proofErr w:type="spellEnd"/>
      <w:r>
        <w:t xml:space="preserve"> specifies the starting OFDM symbol of a CSI-RS resource within</w:t>
      </w:r>
      <w:r w:rsidR="00B11F62">
        <w:t xml:space="preserve"> the slot. Hence, it is already possible to configure multiple resources within a set with symbol gaps in between. Similar functionality is supported already in Rel-15 for SRS resource sets. We further point out that with 480 kHz SCS the CP duration is 146 ns which is </w:t>
      </w:r>
      <w:proofErr w:type="gramStart"/>
      <w:r w:rsidR="00B11F62">
        <w:t>sufficient</w:t>
      </w:r>
      <w:proofErr w:type="gramEnd"/>
      <w:r w:rsidR="00B11F62">
        <w:t xml:space="preserve"> for beam switching. As we mention in Section 4.1.1, according to 38.817 Sec 9.10.2, “The worst-case beam switching time is hence based on the analogue implementation and is estimated as &lt; 100ns.”</w:t>
      </w:r>
    </w:p>
    <w:p w14:paraId="4D276FF6" w14:textId="77777777" w:rsidR="00B11F62" w:rsidRPr="00080C77" w:rsidRDefault="00B11F62" w:rsidP="00B11F62">
      <w:pPr>
        <w:pStyle w:val="BodyText"/>
      </w:pPr>
    </w:p>
    <w:p w14:paraId="4C50E6D1" w14:textId="2E7E094B" w:rsidR="00B11F62" w:rsidRDefault="00B11F62" w:rsidP="00B11F62">
      <w:pPr>
        <w:pStyle w:val="Proposal"/>
      </w:pPr>
      <w:bookmarkStart w:id="743" w:name="_Toc53776240"/>
      <w:r>
        <w:t xml:space="preserve">Capture the following text in TR 38.808: For operation in the 52.6 – 71 GHz band, Rel-15/16 already supports functionality to configure gaps between CSI-RS and SRS resources for beam management. Furthermore, for SCS &lt;= 480 kHz, the CP duration is </w:t>
      </w:r>
      <w:proofErr w:type="gramStart"/>
      <w:r>
        <w:t>sufficient</w:t>
      </w:r>
      <w:proofErr w:type="gramEnd"/>
      <w:r>
        <w:t xml:space="preserve"> for beam switching which typically requires &lt; 100 ns.</w:t>
      </w:r>
      <w:bookmarkEnd w:id="743"/>
    </w:p>
    <w:p w14:paraId="3B021CC5" w14:textId="4588C996" w:rsidR="00B11F62" w:rsidRDefault="00B11F62" w:rsidP="00865755">
      <w:pPr>
        <w:pStyle w:val="BodyText"/>
        <w:rPr>
          <w:rFonts w:ascii="Times New Roman" w:hAnsi="Times New Roman"/>
          <w:lang w:eastAsia="ja-JP"/>
        </w:rPr>
      </w:pPr>
    </w:p>
    <w:p w14:paraId="12B682C9" w14:textId="7C0358DE" w:rsidR="00151B6F" w:rsidRDefault="00151B6F" w:rsidP="00151B6F">
      <w:pPr>
        <w:pStyle w:val="Heading2"/>
      </w:pPr>
      <w:bookmarkStart w:id="744" w:name="_Toc53775915"/>
      <w:r>
        <w:lastRenderedPageBreak/>
        <w:t>4.</w:t>
      </w:r>
      <w:r w:rsidR="00BB4CAB">
        <w:t>6</w:t>
      </w:r>
      <w:r>
        <w:tab/>
        <w:t>Miscellaneous</w:t>
      </w:r>
      <w:bookmarkEnd w:id="744"/>
    </w:p>
    <w:p w14:paraId="414AE6B6" w14:textId="10F39DCC" w:rsidR="007167F3" w:rsidRDefault="00BB4CAB" w:rsidP="00151B6F">
      <w:pPr>
        <w:rPr>
          <w:rFonts w:ascii="Arial" w:hAnsi="Arial" w:cs="Arial"/>
          <w:highlight w:val="yellow"/>
          <w:lang w:val="en-GB"/>
        </w:rPr>
      </w:pPr>
      <w:r>
        <w:rPr>
          <w:noProof/>
        </w:rPr>
        <mc:AlternateContent>
          <mc:Choice Requires="wps">
            <w:drawing>
              <wp:inline distT="0" distB="0" distL="0" distR="0" wp14:anchorId="72CE06D2" wp14:editId="653A9707">
                <wp:extent cx="6105525" cy="2628900"/>
                <wp:effectExtent l="0" t="0" r="28575" b="19050"/>
                <wp:docPr id="12393409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5525" cy="2628900"/>
                        </a:xfrm>
                        <a:prstGeom prst="rect">
                          <a:avLst/>
                        </a:prstGeom>
                        <a:solidFill>
                          <a:srgbClr val="FFFFFF"/>
                        </a:solidFill>
                        <a:ln w="9525">
                          <a:solidFill>
                            <a:srgbClr val="000000"/>
                          </a:solidFill>
                          <a:miter lim="800000"/>
                          <a:headEnd/>
                          <a:tailEnd/>
                        </a:ln>
                      </wps:spPr>
                      <wps:txbx>
                        <w:txbxContent>
                          <w:p w14:paraId="7DBC7155" w14:textId="77777777" w:rsidR="00BE31F7" w:rsidRPr="00A903FE" w:rsidRDefault="00BE31F7" w:rsidP="00BB4CAB">
                            <w:pPr>
                              <w:spacing w:after="0"/>
                              <w:rPr>
                                <w:lang w:eastAsia="en-US"/>
                              </w:rPr>
                            </w:pPr>
                            <w:r w:rsidRPr="00A903FE">
                              <w:rPr>
                                <w:rFonts w:ascii="Times" w:eastAsia="Batang" w:hAnsi="Times"/>
                                <w:color w:val="181818"/>
                                <w:spacing w:val="-6"/>
                                <w:kern w:val="20"/>
                                <w:highlight w:val="green"/>
                                <w:lang w:eastAsia="en-US"/>
                              </w:rPr>
                              <w:t>Agreement</w:t>
                            </w:r>
                            <w:r w:rsidRPr="00A903FE">
                              <w:rPr>
                                <w:rFonts w:ascii="Times" w:eastAsia="Batang" w:hAnsi="Times"/>
                                <w:color w:val="181818"/>
                                <w:spacing w:val="-6"/>
                                <w:kern w:val="20"/>
                                <w:lang w:eastAsia="en-US"/>
                              </w:rPr>
                              <w:t>:</w:t>
                            </w:r>
                          </w:p>
                          <w:p w14:paraId="4154C330" w14:textId="77777777" w:rsidR="00BE31F7" w:rsidRPr="00A903FE" w:rsidRDefault="00BE31F7" w:rsidP="00BB4CAB">
                            <w:pPr>
                              <w:numPr>
                                <w:ilvl w:val="0"/>
                                <w:numId w:val="29"/>
                              </w:numPr>
                              <w:tabs>
                                <w:tab w:val="clear" w:pos="720"/>
                                <w:tab w:val="num" w:pos="-187"/>
                              </w:tabs>
                              <w:overflowPunct/>
                              <w:autoSpaceDE/>
                              <w:autoSpaceDN/>
                              <w:adjustRightInd/>
                              <w:spacing w:after="0" w:line="259" w:lineRule="auto"/>
                              <w:ind w:left="360"/>
                              <w:contextualSpacing/>
                              <w:textAlignment w:val="auto"/>
                              <w:rPr>
                                <w:color w:val="181818"/>
                                <w:lang w:eastAsia="en-US"/>
                              </w:rPr>
                            </w:pPr>
                            <w:r w:rsidRPr="00A903FE">
                              <w:rPr>
                                <w:rFonts w:ascii="Times" w:eastAsia="Batang" w:hAnsi="Times"/>
                                <w:color w:val="181818"/>
                                <w:spacing w:val="-6"/>
                                <w:kern w:val="20"/>
                                <w:lang w:eastAsia="en-US"/>
                              </w:rPr>
                              <w:t>Consider the study of at least the following aspects, including the justification for the features and their potential benefits, if applicable</w:t>
                            </w:r>
                          </w:p>
                          <w:p w14:paraId="6BD0E545" w14:textId="77777777" w:rsidR="00BE31F7" w:rsidRPr="00A903FE" w:rsidRDefault="00BE31F7" w:rsidP="00BB4CAB">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System overhead impact from TDD switching time for larger subcarrier spacing</w:t>
                            </w:r>
                          </w:p>
                          <w:p w14:paraId="47F88A4B" w14:textId="77777777" w:rsidR="00BE31F7" w:rsidRPr="00A903FE" w:rsidRDefault="00BE31F7" w:rsidP="00BB4CAB">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Coverage enhancement mechanisms for control channels and SSB, if larger SCS is supported</w:t>
                            </w:r>
                          </w:p>
                          <w:p w14:paraId="24DE2D66" w14:textId="77777777" w:rsidR="00BE31F7" w:rsidRPr="00A903FE" w:rsidRDefault="00BE31F7" w:rsidP="00BB4CAB">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Any potential modifications to HARQ processes including number of processes, if supported</w:t>
                            </w:r>
                          </w:p>
                          <w:p w14:paraId="7A8066D6" w14:textId="77777777" w:rsidR="00BE31F7" w:rsidRPr="00A903FE" w:rsidRDefault="00BE31F7" w:rsidP="00BB4CAB">
                            <w:pPr>
                              <w:numPr>
                                <w:ilvl w:val="1"/>
                                <w:numId w:val="29"/>
                              </w:numPr>
                              <w:tabs>
                                <w:tab w:val="clear" w:pos="1440"/>
                                <w:tab w:val="num" w:pos="533"/>
                              </w:tabs>
                              <w:overflowPunct/>
                              <w:autoSpaceDE/>
                              <w:autoSpaceDN/>
                              <w:adjustRightInd/>
                              <w:spacing w:after="0" w:line="259" w:lineRule="auto"/>
                              <w:ind w:left="1699"/>
                              <w:contextualSpacing/>
                              <w:textAlignment w:val="auto"/>
                              <w:rPr>
                                <w:lang w:eastAsia="en-US"/>
                              </w:rPr>
                            </w:pPr>
                            <w:r w:rsidRPr="00A903FE">
                              <w:rPr>
                                <w:rFonts w:ascii="Times" w:eastAsia="Batang" w:hAnsi="Times"/>
                                <w:spacing w:val="-6"/>
                                <w:kern w:val="20"/>
                                <w:lang w:eastAsia="en-US"/>
                              </w:rPr>
                              <w:t>Impact from MAC buffering for larger subcarrier spacing, if any</w:t>
                            </w:r>
                          </w:p>
                          <w:p w14:paraId="2AF61635" w14:textId="77777777" w:rsidR="00BE31F7" w:rsidRPr="00A903FE" w:rsidRDefault="00BE31F7" w:rsidP="00BB4CAB">
                            <w:pPr>
                              <w:numPr>
                                <w:ilvl w:val="1"/>
                                <w:numId w:val="29"/>
                              </w:numPr>
                              <w:tabs>
                                <w:tab w:val="clear" w:pos="1440"/>
                                <w:tab w:val="num" w:pos="533"/>
                              </w:tabs>
                              <w:overflowPunct/>
                              <w:autoSpaceDE/>
                              <w:autoSpaceDN/>
                              <w:adjustRightInd/>
                              <w:spacing w:after="0" w:line="259" w:lineRule="auto"/>
                              <w:ind w:left="1699"/>
                              <w:contextualSpacing/>
                              <w:textAlignment w:val="auto"/>
                              <w:rPr>
                                <w:lang w:eastAsia="en-US"/>
                              </w:rPr>
                            </w:pPr>
                            <w:r w:rsidRPr="00A903FE">
                              <w:rPr>
                                <w:rFonts w:ascii="Times" w:eastAsia="Batang" w:hAnsi="Times"/>
                                <w:spacing w:val="-6"/>
                                <w:kern w:val="20"/>
                                <w:lang w:eastAsia="en-US"/>
                              </w:rPr>
                              <w:t>NR channelization/sub-channelization and any potential impact from RAN1 perspective</w:t>
                            </w:r>
                          </w:p>
                          <w:p w14:paraId="3DBEA979" w14:textId="77777777" w:rsidR="00BE31F7" w:rsidRPr="00A903FE" w:rsidRDefault="00BE31F7" w:rsidP="00BB4CAB">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spacing w:val="-6"/>
                                <w:kern w:val="20"/>
                                <w:lang w:eastAsia="en-US"/>
                              </w:rPr>
                              <w:t xml:space="preserve">Additional RF impairments </w:t>
                            </w:r>
                            <w:r w:rsidRPr="00A903FE">
                              <w:rPr>
                                <w:rFonts w:ascii="Times" w:eastAsia="Batang" w:hAnsi="Times"/>
                                <w:color w:val="181818"/>
                                <w:spacing w:val="-6"/>
                                <w:kern w:val="20"/>
                                <w:lang w:eastAsia="en-US"/>
                              </w:rPr>
                              <w:t>that impact evaluations</w:t>
                            </w:r>
                          </w:p>
                          <w:p w14:paraId="567865F7" w14:textId="77777777" w:rsidR="00BE31F7" w:rsidRPr="00A903FE" w:rsidRDefault="00BE31F7" w:rsidP="00BB4CAB">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Impact on BWP switching procedure due to new higher SCS, if supported</w:t>
                            </w:r>
                          </w:p>
                          <w:p w14:paraId="63EC9ADB" w14:textId="77777777" w:rsidR="00BE31F7" w:rsidRPr="00A903FE" w:rsidRDefault="00BE31F7" w:rsidP="00BB4CAB">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Support of rank 2 transmission for DFT-s-OFDM in the uplink</w:t>
                            </w:r>
                          </w:p>
                          <w:p w14:paraId="06FDB381" w14:textId="77777777" w:rsidR="00BE31F7" w:rsidRPr="00F659CF" w:rsidRDefault="00BE31F7" w:rsidP="00BB4CAB">
                            <w:pPr>
                              <w:numPr>
                                <w:ilvl w:val="0"/>
                                <w:numId w:val="30"/>
                              </w:numPr>
                              <w:tabs>
                                <w:tab w:val="clear" w:pos="720"/>
                                <w:tab w:val="num" w:pos="-187"/>
                              </w:tabs>
                              <w:overflowPunct/>
                              <w:autoSpaceDE/>
                              <w:autoSpaceDN/>
                              <w:adjustRightInd/>
                              <w:spacing w:after="0" w:line="259" w:lineRule="auto"/>
                              <w:ind w:left="360"/>
                              <w:contextualSpacing/>
                              <w:textAlignment w:val="auto"/>
                              <w:rPr>
                                <w:color w:val="181818"/>
                                <w:lang w:eastAsia="en-US"/>
                              </w:rPr>
                            </w:pPr>
                            <w:r w:rsidRPr="00A903FE">
                              <w:rPr>
                                <w:rFonts w:ascii="Times" w:eastAsia="Batang" w:hAnsi="Times"/>
                                <w:color w:val="181818"/>
                                <w:spacing w:val="-6"/>
                                <w:kern w:val="20"/>
                                <w:lang w:eastAsia="en-US"/>
                              </w:rPr>
                              <w:t>Other aspects and impacts due to introduction of higher SCS are not precluded.</w:t>
                            </w:r>
                          </w:p>
                          <w:p w14:paraId="56FD8D10" w14:textId="77777777" w:rsidR="00BE31F7" w:rsidRDefault="00BE31F7" w:rsidP="00C066B2">
                            <w:pPr>
                              <w:overflowPunct/>
                              <w:autoSpaceDE/>
                              <w:autoSpaceDN/>
                              <w:adjustRightInd/>
                              <w:spacing w:after="0" w:line="259" w:lineRule="auto"/>
                              <w:contextualSpacing/>
                              <w:textAlignment w:val="auto"/>
                              <w:rPr>
                                <w:color w:val="181818"/>
                                <w:lang w:eastAsia="en-US"/>
                              </w:rPr>
                            </w:pPr>
                          </w:p>
                          <w:p w14:paraId="737B26FC" w14:textId="77777777" w:rsidR="00BE31F7" w:rsidRPr="0058413D" w:rsidRDefault="00BE31F7" w:rsidP="00C066B2">
                            <w:pPr>
                              <w:pStyle w:val="NormalWeb"/>
                              <w:spacing w:before="0" w:beforeAutospacing="0" w:after="0" w:afterAutospacing="0"/>
                              <w:rPr>
                                <w:sz w:val="20"/>
                                <w:szCs w:val="20"/>
                              </w:rPr>
                            </w:pPr>
                            <w:r w:rsidRPr="0058413D">
                              <w:rPr>
                                <w:rFonts w:eastAsia="Batang"/>
                                <w:color w:val="181818"/>
                                <w:spacing w:val="-6"/>
                                <w:kern w:val="20"/>
                                <w:sz w:val="20"/>
                                <w:szCs w:val="20"/>
                                <w:highlight w:val="green"/>
                              </w:rPr>
                              <w:t>Agreement</w:t>
                            </w:r>
                            <w:r w:rsidRPr="0058413D">
                              <w:rPr>
                                <w:rFonts w:eastAsia="Batang"/>
                                <w:color w:val="181818"/>
                                <w:spacing w:val="-6"/>
                                <w:kern w:val="20"/>
                                <w:sz w:val="20"/>
                                <w:szCs w:val="20"/>
                              </w:rPr>
                              <w:t>:</w:t>
                            </w:r>
                          </w:p>
                          <w:p w14:paraId="56937CC5" w14:textId="77777777" w:rsidR="00BE31F7" w:rsidRPr="0058413D" w:rsidRDefault="00BE31F7" w:rsidP="00C066B2">
                            <w:pPr>
                              <w:pStyle w:val="NormalWeb"/>
                              <w:spacing w:before="0" w:beforeAutospacing="0" w:after="0" w:afterAutospacing="0"/>
                              <w:rPr>
                                <w:sz w:val="20"/>
                                <w:szCs w:val="20"/>
                              </w:rPr>
                            </w:pPr>
                            <w:r w:rsidRPr="0058413D">
                              <w:rPr>
                                <w:rFonts w:eastAsia="Batang"/>
                                <w:color w:val="181818"/>
                                <w:spacing w:val="-6"/>
                                <w:kern w:val="20"/>
                                <w:sz w:val="20"/>
                                <w:szCs w:val="20"/>
                              </w:rPr>
                              <w:t>Study single carrier and multi carrier operations for achieving wide bandwidth utilization, while at least considering aspects such as control signaling overhead, transceiver complexity, spectral efficiency, etc.</w:t>
                            </w:r>
                          </w:p>
                          <w:p w14:paraId="7FC5252F" w14:textId="77777777" w:rsidR="00BE31F7" w:rsidRPr="00A903FE" w:rsidRDefault="00BE31F7" w:rsidP="004F69A1">
                            <w:pPr>
                              <w:overflowPunct/>
                              <w:autoSpaceDE/>
                              <w:autoSpaceDN/>
                              <w:adjustRightInd/>
                              <w:spacing w:after="0" w:line="259" w:lineRule="auto"/>
                              <w:contextualSpacing/>
                              <w:textAlignment w:val="auto"/>
                              <w:rPr>
                                <w:color w:val="181818"/>
                                <w:lang w:eastAsia="en-US"/>
                              </w:rPr>
                            </w:pPr>
                          </w:p>
                          <w:p w14:paraId="4DDC1D93" w14:textId="77777777" w:rsidR="00BE31F7" w:rsidRDefault="00BE31F7" w:rsidP="00BB4CAB"/>
                        </w:txbxContent>
                      </wps:txbx>
                      <wps:bodyPr rot="0" vert="horz" wrap="square" lIns="91440" tIns="45720" rIns="91440" bIns="45720" anchor="t" anchorCtr="0">
                        <a:noAutofit/>
                      </wps:bodyPr>
                    </wps:wsp>
                  </a:graphicData>
                </a:graphic>
              </wp:inline>
            </w:drawing>
          </mc:Choice>
          <mc:Fallback>
            <w:pict>
              <v:shape w14:anchorId="72CE06D2" id="_x0000_s1038" type="#_x0000_t202" style="width:480.75pt;height:20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">
                <v:textbox>
                  <w:txbxContent>
                    <w:p w14:paraId="7DBC7155" w14:textId="77777777" w:rsidR="00BE31F7" w:rsidRPr="00A903FE" w:rsidRDefault="00BE31F7" w:rsidP="00BB4CAB">
                      <w:pPr>
                        <w:spacing w:after="0"/>
                        <w:rPr>
                          <w:lang w:eastAsia="en-US"/>
                        </w:rPr>
                      </w:pPr>
                      <w:r w:rsidRPr="00A903FE">
                        <w:rPr>
                          <w:rFonts w:ascii="Times" w:eastAsia="Batang" w:hAnsi="Times"/>
                          <w:color w:val="181818"/>
                          <w:spacing w:val="-6"/>
                          <w:kern w:val="20"/>
                          <w:highlight w:val="green"/>
                          <w:lang w:eastAsia="en-US"/>
                        </w:rPr>
                        <w:t>Agreement</w:t>
                      </w:r>
                      <w:r w:rsidRPr="00A903FE">
                        <w:rPr>
                          <w:rFonts w:ascii="Times" w:eastAsia="Batang" w:hAnsi="Times"/>
                          <w:color w:val="181818"/>
                          <w:spacing w:val="-6"/>
                          <w:kern w:val="20"/>
                          <w:lang w:eastAsia="en-US"/>
                        </w:rPr>
                        <w:t>:</w:t>
                      </w:r>
                    </w:p>
                    <w:p w14:paraId="4154C330" w14:textId="77777777" w:rsidR="00BE31F7" w:rsidRPr="00A903FE" w:rsidRDefault="00BE31F7" w:rsidP="00BB4CAB">
                      <w:pPr>
                        <w:numPr>
                          <w:ilvl w:val="0"/>
                          <w:numId w:val="29"/>
                        </w:numPr>
                        <w:tabs>
                          <w:tab w:val="clear" w:pos="720"/>
                          <w:tab w:val="num" w:pos="-187"/>
                        </w:tabs>
                        <w:overflowPunct/>
                        <w:autoSpaceDE/>
                        <w:autoSpaceDN/>
                        <w:adjustRightInd/>
                        <w:spacing w:after="0" w:line="259" w:lineRule="auto"/>
                        <w:ind w:left="360"/>
                        <w:contextualSpacing/>
                        <w:textAlignment w:val="auto"/>
                        <w:rPr>
                          <w:color w:val="181818"/>
                          <w:lang w:eastAsia="en-US"/>
                        </w:rPr>
                      </w:pPr>
                      <w:r w:rsidRPr="00A903FE">
                        <w:rPr>
                          <w:rFonts w:ascii="Times" w:eastAsia="Batang" w:hAnsi="Times"/>
                          <w:color w:val="181818"/>
                          <w:spacing w:val="-6"/>
                          <w:kern w:val="20"/>
                          <w:lang w:eastAsia="en-US"/>
                        </w:rPr>
                        <w:t>Consider the study of at least the following aspects, including the justification for the features and their potential benefits, if applicable</w:t>
                      </w:r>
                    </w:p>
                    <w:p w14:paraId="6BD0E545" w14:textId="77777777" w:rsidR="00BE31F7" w:rsidRPr="00A903FE" w:rsidRDefault="00BE31F7" w:rsidP="00BB4CAB">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System overhead impact from TDD switching time for larger subcarrier spacing</w:t>
                      </w:r>
                    </w:p>
                    <w:p w14:paraId="47F88A4B" w14:textId="77777777" w:rsidR="00BE31F7" w:rsidRPr="00A903FE" w:rsidRDefault="00BE31F7" w:rsidP="00BB4CAB">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Coverage enhancement mechanisms for control channels and SSB, if larger SCS is supported</w:t>
                      </w:r>
                    </w:p>
                    <w:p w14:paraId="24DE2D66" w14:textId="77777777" w:rsidR="00BE31F7" w:rsidRPr="00A903FE" w:rsidRDefault="00BE31F7" w:rsidP="00BB4CAB">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Any potential modifications to HARQ processes including number of processes, if supported</w:t>
                      </w:r>
                    </w:p>
                    <w:p w14:paraId="7A8066D6" w14:textId="77777777" w:rsidR="00BE31F7" w:rsidRPr="00A903FE" w:rsidRDefault="00BE31F7" w:rsidP="00BB4CAB">
                      <w:pPr>
                        <w:numPr>
                          <w:ilvl w:val="1"/>
                          <w:numId w:val="29"/>
                        </w:numPr>
                        <w:tabs>
                          <w:tab w:val="clear" w:pos="1440"/>
                          <w:tab w:val="num" w:pos="533"/>
                        </w:tabs>
                        <w:overflowPunct/>
                        <w:autoSpaceDE/>
                        <w:autoSpaceDN/>
                        <w:adjustRightInd/>
                        <w:spacing w:after="0" w:line="259" w:lineRule="auto"/>
                        <w:ind w:left="1699"/>
                        <w:contextualSpacing/>
                        <w:textAlignment w:val="auto"/>
                        <w:rPr>
                          <w:lang w:eastAsia="en-US"/>
                        </w:rPr>
                      </w:pPr>
                      <w:r w:rsidRPr="00A903FE">
                        <w:rPr>
                          <w:rFonts w:ascii="Times" w:eastAsia="Batang" w:hAnsi="Times"/>
                          <w:spacing w:val="-6"/>
                          <w:kern w:val="20"/>
                          <w:lang w:eastAsia="en-US"/>
                        </w:rPr>
                        <w:t>Impact from MAC buffering for larger subcarrier spacing, if any</w:t>
                      </w:r>
                    </w:p>
                    <w:p w14:paraId="2AF61635" w14:textId="77777777" w:rsidR="00BE31F7" w:rsidRPr="00A903FE" w:rsidRDefault="00BE31F7" w:rsidP="00BB4CAB">
                      <w:pPr>
                        <w:numPr>
                          <w:ilvl w:val="1"/>
                          <w:numId w:val="29"/>
                        </w:numPr>
                        <w:tabs>
                          <w:tab w:val="clear" w:pos="1440"/>
                          <w:tab w:val="num" w:pos="533"/>
                        </w:tabs>
                        <w:overflowPunct/>
                        <w:autoSpaceDE/>
                        <w:autoSpaceDN/>
                        <w:adjustRightInd/>
                        <w:spacing w:after="0" w:line="259" w:lineRule="auto"/>
                        <w:ind w:left="1699"/>
                        <w:contextualSpacing/>
                        <w:textAlignment w:val="auto"/>
                        <w:rPr>
                          <w:lang w:eastAsia="en-US"/>
                        </w:rPr>
                      </w:pPr>
                      <w:r w:rsidRPr="00A903FE">
                        <w:rPr>
                          <w:rFonts w:ascii="Times" w:eastAsia="Batang" w:hAnsi="Times"/>
                          <w:spacing w:val="-6"/>
                          <w:kern w:val="20"/>
                          <w:lang w:eastAsia="en-US"/>
                        </w:rPr>
                        <w:t>NR channelization/sub-channelization and any potential impact from RAN1 perspective</w:t>
                      </w:r>
                    </w:p>
                    <w:p w14:paraId="3DBEA979" w14:textId="77777777" w:rsidR="00BE31F7" w:rsidRPr="00A903FE" w:rsidRDefault="00BE31F7" w:rsidP="00BB4CAB">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spacing w:val="-6"/>
                          <w:kern w:val="20"/>
                          <w:lang w:eastAsia="en-US"/>
                        </w:rPr>
                        <w:t xml:space="preserve">Additional RF impairments </w:t>
                      </w:r>
                      <w:r w:rsidRPr="00A903FE">
                        <w:rPr>
                          <w:rFonts w:ascii="Times" w:eastAsia="Batang" w:hAnsi="Times"/>
                          <w:color w:val="181818"/>
                          <w:spacing w:val="-6"/>
                          <w:kern w:val="20"/>
                          <w:lang w:eastAsia="en-US"/>
                        </w:rPr>
                        <w:t>that impact evaluations</w:t>
                      </w:r>
                    </w:p>
                    <w:p w14:paraId="567865F7" w14:textId="77777777" w:rsidR="00BE31F7" w:rsidRPr="00A903FE" w:rsidRDefault="00BE31F7" w:rsidP="00BB4CAB">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Impact on BWP switching procedure due to new higher SCS, if supported</w:t>
                      </w:r>
                    </w:p>
                    <w:p w14:paraId="63EC9ADB" w14:textId="77777777" w:rsidR="00BE31F7" w:rsidRPr="00A903FE" w:rsidRDefault="00BE31F7" w:rsidP="00BB4CAB">
                      <w:pPr>
                        <w:numPr>
                          <w:ilvl w:val="1"/>
                          <w:numId w:val="29"/>
                        </w:numPr>
                        <w:tabs>
                          <w:tab w:val="clear" w:pos="1440"/>
                          <w:tab w:val="num" w:pos="533"/>
                        </w:tabs>
                        <w:overflowPunct/>
                        <w:autoSpaceDE/>
                        <w:autoSpaceDN/>
                        <w:adjustRightInd/>
                        <w:spacing w:after="0" w:line="259" w:lineRule="auto"/>
                        <w:ind w:left="1699"/>
                        <w:contextualSpacing/>
                        <w:textAlignment w:val="auto"/>
                        <w:rPr>
                          <w:color w:val="181818"/>
                          <w:lang w:eastAsia="en-US"/>
                        </w:rPr>
                      </w:pPr>
                      <w:r w:rsidRPr="00A903FE">
                        <w:rPr>
                          <w:rFonts w:ascii="Times" w:eastAsia="Batang" w:hAnsi="Times"/>
                          <w:color w:val="181818"/>
                          <w:spacing w:val="-6"/>
                          <w:kern w:val="20"/>
                          <w:lang w:eastAsia="en-US"/>
                        </w:rPr>
                        <w:t>Support of rank 2 transmission for DFT-s-OFDM in the uplink</w:t>
                      </w:r>
                    </w:p>
                    <w:p w14:paraId="06FDB381" w14:textId="77777777" w:rsidR="00BE31F7" w:rsidRPr="00F659CF" w:rsidRDefault="00BE31F7" w:rsidP="00BB4CAB">
                      <w:pPr>
                        <w:numPr>
                          <w:ilvl w:val="0"/>
                          <w:numId w:val="30"/>
                        </w:numPr>
                        <w:tabs>
                          <w:tab w:val="clear" w:pos="720"/>
                          <w:tab w:val="num" w:pos="-187"/>
                        </w:tabs>
                        <w:overflowPunct/>
                        <w:autoSpaceDE/>
                        <w:autoSpaceDN/>
                        <w:adjustRightInd/>
                        <w:spacing w:after="0" w:line="259" w:lineRule="auto"/>
                        <w:ind w:left="360"/>
                        <w:contextualSpacing/>
                        <w:textAlignment w:val="auto"/>
                        <w:rPr>
                          <w:color w:val="181818"/>
                          <w:lang w:eastAsia="en-US"/>
                        </w:rPr>
                      </w:pPr>
                      <w:r w:rsidRPr="00A903FE">
                        <w:rPr>
                          <w:rFonts w:ascii="Times" w:eastAsia="Batang" w:hAnsi="Times"/>
                          <w:color w:val="181818"/>
                          <w:spacing w:val="-6"/>
                          <w:kern w:val="20"/>
                          <w:lang w:eastAsia="en-US"/>
                        </w:rPr>
                        <w:t>Other aspects and impacts due to introduction of higher SCS are not precluded.</w:t>
                      </w:r>
                    </w:p>
                    <w:p w14:paraId="56FD8D10" w14:textId="77777777" w:rsidR="00BE31F7" w:rsidRDefault="00BE31F7" w:rsidP="00C066B2">
                      <w:pPr>
                        <w:overflowPunct/>
                        <w:autoSpaceDE/>
                        <w:autoSpaceDN/>
                        <w:adjustRightInd/>
                        <w:spacing w:after="0" w:line="259" w:lineRule="auto"/>
                        <w:contextualSpacing/>
                        <w:textAlignment w:val="auto"/>
                        <w:rPr>
                          <w:color w:val="181818"/>
                          <w:lang w:eastAsia="en-US"/>
                        </w:rPr>
                      </w:pPr>
                    </w:p>
                    <w:p w14:paraId="737B26FC" w14:textId="77777777" w:rsidR="00BE31F7" w:rsidRPr="0058413D" w:rsidRDefault="00BE31F7" w:rsidP="00C066B2">
                      <w:pPr>
                        <w:pStyle w:val="NormalWeb"/>
                        <w:spacing w:before="0" w:beforeAutospacing="0" w:after="0" w:afterAutospacing="0"/>
                        <w:rPr>
                          <w:sz w:val="20"/>
                          <w:szCs w:val="20"/>
                        </w:rPr>
                      </w:pPr>
                      <w:r w:rsidRPr="0058413D">
                        <w:rPr>
                          <w:rFonts w:eastAsia="Batang"/>
                          <w:color w:val="181818"/>
                          <w:spacing w:val="-6"/>
                          <w:kern w:val="20"/>
                          <w:sz w:val="20"/>
                          <w:szCs w:val="20"/>
                          <w:highlight w:val="green"/>
                        </w:rPr>
                        <w:t>Agreement</w:t>
                      </w:r>
                      <w:r w:rsidRPr="0058413D">
                        <w:rPr>
                          <w:rFonts w:eastAsia="Batang"/>
                          <w:color w:val="181818"/>
                          <w:spacing w:val="-6"/>
                          <w:kern w:val="20"/>
                          <w:sz w:val="20"/>
                          <w:szCs w:val="20"/>
                        </w:rPr>
                        <w:t>:</w:t>
                      </w:r>
                    </w:p>
                    <w:p w14:paraId="56937CC5" w14:textId="77777777" w:rsidR="00BE31F7" w:rsidRPr="0058413D" w:rsidRDefault="00BE31F7" w:rsidP="00C066B2">
                      <w:pPr>
                        <w:pStyle w:val="NormalWeb"/>
                        <w:spacing w:before="0" w:beforeAutospacing="0" w:after="0" w:afterAutospacing="0"/>
                        <w:rPr>
                          <w:sz w:val="20"/>
                          <w:szCs w:val="20"/>
                        </w:rPr>
                      </w:pPr>
                      <w:r w:rsidRPr="0058413D">
                        <w:rPr>
                          <w:rFonts w:eastAsia="Batang"/>
                          <w:color w:val="181818"/>
                          <w:spacing w:val="-6"/>
                          <w:kern w:val="20"/>
                          <w:sz w:val="20"/>
                          <w:szCs w:val="20"/>
                        </w:rPr>
                        <w:t>Study single carrier and multi carrier operations for achieving wide bandwidth utilization, while at least considering aspects such as control signaling overhead, transceiver complexity, spectral efficiency, etc.</w:t>
                      </w:r>
                    </w:p>
                    <w:p w14:paraId="7FC5252F" w14:textId="77777777" w:rsidR="00BE31F7" w:rsidRPr="00A903FE" w:rsidRDefault="00BE31F7" w:rsidP="004F69A1">
                      <w:pPr>
                        <w:overflowPunct/>
                        <w:autoSpaceDE/>
                        <w:autoSpaceDN/>
                        <w:adjustRightInd/>
                        <w:spacing w:after="0" w:line="259" w:lineRule="auto"/>
                        <w:contextualSpacing/>
                        <w:textAlignment w:val="auto"/>
                        <w:rPr>
                          <w:color w:val="181818"/>
                          <w:lang w:eastAsia="en-US"/>
                        </w:rPr>
                      </w:pPr>
                    </w:p>
                    <w:p w14:paraId="4DDC1D93" w14:textId="77777777" w:rsidR="00BE31F7" w:rsidRDefault="00BE31F7" w:rsidP="00BB4CAB"/>
                  </w:txbxContent>
                </v:textbox>
                <w10:anchorlock/>
              </v:shape>
            </w:pict>
          </mc:Fallback>
        </mc:AlternateContent>
      </w:r>
    </w:p>
    <w:p w14:paraId="0A3388A8" w14:textId="29B100A3" w:rsidR="00BB4CAB" w:rsidRDefault="00F77820">
      <w:pPr>
        <w:pStyle w:val="BodyText"/>
      </w:pPr>
      <w:r>
        <w:t>Many of the FFS items in the above agreements have been discussed in other sections</w:t>
      </w:r>
      <w:r w:rsidR="00DA5F23">
        <w:t xml:space="preserve"> of this contribution</w:t>
      </w:r>
      <w:r>
        <w:t>, i.e., coverage, HARQ, MAC buffering, NR channelization. Here we discuss a few of the remaining issues:</w:t>
      </w:r>
    </w:p>
    <w:p w14:paraId="184E8C74" w14:textId="389690CB" w:rsidR="00F77820" w:rsidRPr="004F69A1" w:rsidRDefault="00F77820">
      <w:pPr>
        <w:pStyle w:val="BodyText"/>
        <w:rPr>
          <w:b/>
          <w:bCs/>
          <w:u w:val="single"/>
        </w:rPr>
      </w:pPr>
      <w:r w:rsidRPr="004F69A1">
        <w:rPr>
          <w:b/>
          <w:bCs/>
          <w:u w:val="single"/>
        </w:rPr>
        <w:t>TDD switching time</w:t>
      </w:r>
    </w:p>
    <w:p w14:paraId="245A8392" w14:textId="5BFA8E6D" w:rsidR="00491485" w:rsidRDefault="00B81869">
      <w:pPr>
        <w:pStyle w:val="BodyText"/>
      </w:pPr>
      <w:r>
        <w:t xml:space="preserve">Regarding TDD switching times, in 38.211 the following DL – UL and UL – DL switching times are specified in units of </w:t>
      </w:r>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f</m:t>
                    </m:r>
                  </m:sub>
                </m:sSub>
              </m:e>
            </m:d>
          </m:den>
        </m:f>
      </m:oMath>
      <w:r>
        <w:t xml:space="preserve"> where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and </w:t>
      </w:r>
      <m:oMath>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=4096</m:t>
        </m:r>
      </m:oMath>
      <w:r>
        <w:t>.</w:t>
      </w:r>
      <w:r w:rsidR="00032732">
        <w:t xml:space="preserve"> </w:t>
      </w:r>
      <w:r w:rsidR="00DA5F23">
        <w:t>Observing Table 4.3.2.-3 below copied from 38.211</w:t>
      </w:r>
      <w:r w:rsidR="00364E3E">
        <w:t>,</w:t>
      </w:r>
      <w:r w:rsidR="00DA5F23">
        <w:t xml:space="preserve"> </w:t>
      </w:r>
      <w:r w:rsidR="00032732">
        <w:t>th</w:t>
      </w:r>
      <w:r w:rsidR="00DA5F23">
        <w:t>e</w:t>
      </w:r>
      <w:r w:rsidR="00032732">
        <w:t xml:space="preserve"> switching time </w:t>
      </w:r>
      <w:r w:rsidR="00DA5F23">
        <w:t xml:space="preserve">for FR2 </w:t>
      </w:r>
      <w:r w:rsidR="00032732">
        <w:t xml:space="preserve">is roughly 7 </w:t>
      </w:r>
      <w:r w:rsidR="00032732">
        <w:rPr>
          <w:rFonts w:cs="Arial"/>
        </w:rPr>
        <w:t>µ</w:t>
      </w:r>
      <w:r w:rsidR="00032732">
        <w:t>s, i.e., just short of 1 OFDM symbol at 120 kHz SCS. This incurs overhead whenever the transmit-receive direction is switched.</w:t>
      </w:r>
      <w:r w:rsidR="00491485">
        <w:t xml:space="preserve"> For example, for a 3DL-1UL TDD pattern, 2 switches are required within every 4 slots.</w:t>
      </w:r>
    </w:p>
    <w:p w14:paraId="1E9DA17D" w14:textId="453823B4" w:rsidR="00491485" w:rsidRDefault="00491485">
      <w:pPr>
        <w:pStyle w:val="BodyText"/>
      </w:pPr>
      <w:r>
        <w:t>If the subcarrier spacing is increased, e.g., to 480 kHz, and the absolute switch time requirement for FR2 is reused for operation in the 52.6 – 71 GHz band, then the switch time in terms of number of OFDM symbols scales by a factor of 4, and thus increases the overhead by the same factor for a fixed number of slots.</w:t>
      </w:r>
      <w:r w:rsidR="00DA5F23">
        <w:t xml:space="preserve"> </w:t>
      </w:r>
      <w:r w:rsidR="004A194F">
        <w:t>However, if the switching periodicity is reduced to account for shorter slots, then the overhead can be kept at the same levels as FR2, which is already quite low.</w:t>
      </w:r>
    </w:p>
    <w:p w14:paraId="07AE76DB" w14:textId="77777777" w:rsidR="00B81869" w:rsidRPr="0019164C" w:rsidRDefault="00B81869" w:rsidP="00B81869">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B81869" w:rsidRPr="0019164C" w14:paraId="4B92133D" w14:textId="77777777" w:rsidTr="00B81869">
        <w:trPr>
          <w:jc w:val="center"/>
        </w:trPr>
        <w:tc>
          <w:tcPr>
            <w:tcW w:w="2122" w:type="dxa"/>
          </w:tcPr>
          <w:p w14:paraId="4B1274F1" w14:textId="77777777" w:rsidR="00B81869" w:rsidRPr="0019164C" w:rsidRDefault="00B81869" w:rsidP="00B81869">
            <w:pPr>
              <w:keepNext/>
              <w:keepLines/>
              <w:spacing w:after="0"/>
              <w:jc w:val="center"/>
              <w:rPr>
                <w:rFonts w:ascii="Arial" w:hAnsi="Arial"/>
                <w:b/>
                <w:sz w:val="18"/>
              </w:rPr>
            </w:pPr>
            <w:r w:rsidRPr="0019164C">
              <w:rPr>
                <w:rFonts w:ascii="Arial" w:hAnsi="Arial"/>
                <w:b/>
                <w:sz w:val="18"/>
              </w:rPr>
              <w:t>Transition time</w:t>
            </w:r>
          </w:p>
        </w:tc>
        <w:tc>
          <w:tcPr>
            <w:tcW w:w="1134" w:type="dxa"/>
          </w:tcPr>
          <w:p w14:paraId="1E1D2309" w14:textId="77777777" w:rsidR="00B81869" w:rsidRPr="0019164C" w:rsidRDefault="00B81869" w:rsidP="00B81869">
            <w:pPr>
              <w:keepNext/>
              <w:keepLines/>
              <w:spacing w:after="0"/>
              <w:jc w:val="center"/>
              <w:rPr>
                <w:rFonts w:ascii="Arial" w:hAnsi="Arial"/>
                <w:b/>
                <w:sz w:val="18"/>
              </w:rPr>
            </w:pPr>
            <w:r w:rsidRPr="0019164C">
              <w:rPr>
                <w:rFonts w:ascii="Arial" w:hAnsi="Arial"/>
                <w:b/>
                <w:sz w:val="18"/>
              </w:rPr>
              <w:t>FR1</w:t>
            </w:r>
          </w:p>
        </w:tc>
        <w:tc>
          <w:tcPr>
            <w:tcW w:w="992" w:type="dxa"/>
          </w:tcPr>
          <w:p w14:paraId="5ED5CFCF" w14:textId="77777777" w:rsidR="00B81869" w:rsidRPr="0019164C" w:rsidRDefault="00B81869" w:rsidP="00B81869">
            <w:pPr>
              <w:keepNext/>
              <w:keepLines/>
              <w:spacing w:after="0"/>
              <w:jc w:val="center"/>
              <w:rPr>
                <w:rFonts w:ascii="Arial" w:hAnsi="Arial"/>
                <w:b/>
                <w:sz w:val="18"/>
              </w:rPr>
            </w:pPr>
            <w:r w:rsidRPr="0019164C">
              <w:rPr>
                <w:rFonts w:ascii="Arial" w:hAnsi="Arial"/>
                <w:b/>
                <w:sz w:val="18"/>
              </w:rPr>
              <w:t>FR2</w:t>
            </w:r>
          </w:p>
        </w:tc>
      </w:tr>
      <w:tr w:rsidR="00B81869" w:rsidRPr="0019164C" w14:paraId="382484C4" w14:textId="77777777" w:rsidTr="00B81869">
        <w:trPr>
          <w:jc w:val="center"/>
        </w:trPr>
        <w:tc>
          <w:tcPr>
            <w:tcW w:w="2122" w:type="dxa"/>
          </w:tcPr>
          <w:p w14:paraId="3DF8D93C" w14:textId="77777777" w:rsidR="00B81869" w:rsidRPr="0019164C" w:rsidRDefault="00B04ED4" w:rsidP="00B81869">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0EB2B6FB" w14:textId="77777777" w:rsidR="00B81869" w:rsidRPr="004249C8" w:rsidRDefault="00B81869" w:rsidP="00B81869">
            <w:pPr>
              <w:keepNext/>
              <w:keepLines/>
              <w:spacing w:after="0"/>
              <w:jc w:val="center"/>
              <w:rPr>
                <w:rFonts w:ascii="Arial" w:hAnsi="Arial"/>
                <w:sz w:val="18"/>
              </w:rPr>
            </w:pPr>
            <w:r w:rsidRPr="00A728F8">
              <w:rPr>
                <w:rFonts w:ascii="Arial" w:hAnsi="Arial"/>
                <w:sz w:val="18"/>
              </w:rPr>
              <w:t>25600</w:t>
            </w:r>
          </w:p>
        </w:tc>
        <w:tc>
          <w:tcPr>
            <w:tcW w:w="992" w:type="dxa"/>
          </w:tcPr>
          <w:p w14:paraId="79226909" w14:textId="77777777" w:rsidR="00B81869" w:rsidRPr="004249C8" w:rsidRDefault="00B81869" w:rsidP="00B81869">
            <w:pPr>
              <w:keepNext/>
              <w:keepLines/>
              <w:spacing w:after="0"/>
              <w:jc w:val="center"/>
              <w:rPr>
                <w:rFonts w:ascii="Arial" w:hAnsi="Arial"/>
                <w:sz w:val="18"/>
              </w:rPr>
            </w:pPr>
            <w:r w:rsidRPr="00A728F8">
              <w:rPr>
                <w:rFonts w:ascii="Arial" w:hAnsi="Arial"/>
                <w:sz w:val="18"/>
              </w:rPr>
              <w:t>13792</w:t>
            </w:r>
          </w:p>
        </w:tc>
      </w:tr>
      <w:tr w:rsidR="00B81869" w:rsidRPr="0019164C" w14:paraId="38BAF96C" w14:textId="77777777" w:rsidTr="00B81869">
        <w:trPr>
          <w:jc w:val="center"/>
        </w:trPr>
        <w:tc>
          <w:tcPr>
            <w:tcW w:w="2122" w:type="dxa"/>
          </w:tcPr>
          <w:p w14:paraId="6C062ED7" w14:textId="77777777" w:rsidR="00B81869" w:rsidRPr="0019164C" w:rsidRDefault="00B04ED4" w:rsidP="00B81869">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443FCD90" w14:textId="77777777" w:rsidR="00B81869" w:rsidRPr="00A96E72" w:rsidRDefault="00B81869" w:rsidP="00B81869">
            <w:pPr>
              <w:keepNext/>
              <w:keepLines/>
              <w:spacing w:after="0"/>
              <w:jc w:val="center"/>
              <w:rPr>
                <w:rFonts w:ascii="Arial" w:hAnsi="Arial"/>
                <w:sz w:val="18"/>
              </w:rPr>
            </w:pPr>
            <w:r w:rsidRPr="00A96E72">
              <w:rPr>
                <w:rFonts w:ascii="Arial" w:hAnsi="Arial"/>
                <w:sz w:val="18"/>
              </w:rPr>
              <w:t>25600</w:t>
            </w:r>
          </w:p>
        </w:tc>
        <w:tc>
          <w:tcPr>
            <w:tcW w:w="992" w:type="dxa"/>
          </w:tcPr>
          <w:p w14:paraId="5EBDF709" w14:textId="77777777" w:rsidR="00B81869" w:rsidRPr="00A96E72" w:rsidRDefault="00B81869" w:rsidP="00B81869">
            <w:pPr>
              <w:keepNext/>
              <w:keepLines/>
              <w:spacing w:after="0"/>
              <w:jc w:val="center"/>
              <w:rPr>
                <w:rFonts w:ascii="Arial" w:hAnsi="Arial"/>
                <w:sz w:val="18"/>
              </w:rPr>
            </w:pPr>
            <w:r w:rsidRPr="00A96E72">
              <w:rPr>
                <w:rFonts w:ascii="Arial" w:hAnsi="Arial"/>
                <w:sz w:val="18"/>
              </w:rPr>
              <w:t>13792</w:t>
            </w:r>
          </w:p>
        </w:tc>
      </w:tr>
    </w:tbl>
    <w:p w14:paraId="14E6BE6B" w14:textId="7323D633" w:rsidR="00B81869" w:rsidRDefault="00B81869">
      <w:pPr>
        <w:pStyle w:val="BodyText"/>
      </w:pPr>
    </w:p>
    <w:p w14:paraId="40DD5FBC" w14:textId="54D33A9D" w:rsidR="00B81869" w:rsidRDefault="00491485">
      <w:pPr>
        <w:pStyle w:val="BodyText"/>
      </w:pPr>
      <w:r>
        <w:t xml:space="preserve">We observe that </w:t>
      </w:r>
      <w:r w:rsidR="004A194F">
        <w:t xml:space="preserve">since </w:t>
      </w:r>
      <w:r>
        <w:t>the switching time requirement</w:t>
      </w:r>
      <w:r w:rsidR="004A194F">
        <w:t>s</w:t>
      </w:r>
      <w:r>
        <w:t xml:space="preserve"> in Table 4.3.2-3 </w:t>
      </w:r>
      <w:r w:rsidR="004A194F">
        <w:t xml:space="preserve">are </w:t>
      </w:r>
      <w:r w:rsidR="00DA5F23">
        <w:t>the responsibility of RAN4</w:t>
      </w:r>
      <w:r w:rsidR="004A194F">
        <w:t xml:space="preserve"> to define</w:t>
      </w:r>
      <w:r w:rsidR="00DA5F23">
        <w:t>, we don't see a need to discuss this further in RAN1.</w:t>
      </w:r>
    </w:p>
    <w:p w14:paraId="6FCD7574" w14:textId="0E967EAB" w:rsidR="00DA5F23" w:rsidRDefault="00DA5F23" w:rsidP="004F69A1">
      <w:pPr>
        <w:pStyle w:val="Observation"/>
        <w:ind w:left="1620" w:hanging="1620"/>
      </w:pPr>
      <w:bookmarkStart w:id="745" w:name="_Toc53775930"/>
      <w:r>
        <w:t xml:space="preserve">TDD switching time requirements for the 52.6 – 71 GHz band are the responsibility of RAN4 and thus </w:t>
      </w:r>
      <w:r w:rsidR="008F00D6">
        <w:t>do</w:t>
      </w:r>
      <w:r w:rsidR="00534E4D">
        <w:t xml:space="preserve"> not</w:t>
      </w:r>
      <w:r w:rsidR="008F00D6">
        <w:t xml:space="preserve"> </w:t>
      </w:r>
      <w:r>
        <w:t>need to be further discussed in RAN1.</w:t>
      </w:r>
      <w:bookmarkEnd w:id="745"/>
    </w:p>
    <w:p w14:paraId="277EF20D" w14:textId="77777777" w:rsidR="00491485" w:rsidRDefault="00491485">
      <w:pPr>
        <w:pStyle w:val="BodyText"/>
      </w:pPr>
    </w:p>
    <w:p w14:paraId="1F9C6A12" w14:textId="76BD34BB" w:rsidR="00F77820" w:rsidRPr="004F69A1" w:rsidRDefault="00F77820">
      <w:pPr>
        <w:pStyle w:val="BodyText"/>
        <w:rPr>
          <w:b/>
          <w:bCs/>
          <w:u w:val="single"/>
        </w:rPr>
      </w:pPr>
      <w:r w:rsidRPr="004F69A1">
        <w:rPr>
          <w:b/>
          <w:bCs/>
          <w:u w:val="single"/>
        </w:rPr>
        <w:t>Rank-2 transmission for DFT-s-OFDM</w:t>
      </w:r>
    </w:p>
    <w:p w14:paraId="539CDC20" w14:textId="731E7777" w:rsidR="00F77820" w:rsidRDefault="00F772C6">
      <w:pPr>
        <w:pStyle w:val="BodyText"/>
      </w:pPr>
      <w:r>
        <w:t xml:space="preserve">Rel-15/16 supports is limited to rank-1 transmission when DFT-s-OFDM is configured in the UL. It has been proposed to consider </w:t>
      </w:r>
      <w:proofErr w:type="gramStart"/>
      <w:r>
        <w:t>whether or not</w:t>
      </w:r>
      <w:proofErr w:type="gramEnd"/>
      <w:r>
        <w:t xml:space="preserve"> this should be extended to rank-2. In our view, any decision on this is out of scope for the current SI/WI. This is better suited to be discussed in a MIMO SI/WI. </w:t>
      </w:r>
      <w:proofErr w:type="gramStart"/>
      <w:r>
        <w:t>Hence</w:t>
      </w:r>
      <w:proofErr w:type="gramEnd"/>
      <w:r>
        <w:t xml:space="preserve"> we propose</w:t>
      </w:r>
    </w:p>
    <w:p w14:paraId="72D9F5C1" w14:textId="04B5414B" w:rsidR="00F772C6" w:rsidRDefault="00F772C6" w:rsidP="004F69A1">
      <w:pPr>
        <w:pStyle w:val="Proposal"/>
      </w:pPr>
      <w:bookmarkStart w:id="746" w:name="_Toc53776241"/>
      <w:r>
        <w:t>Do not further discuss Rank-2 transmission for DFT-s-OFDM in the 52.6 – 71 GHz SI/WI. This should be addressed under a MIMO SI/WI.</w:t>
      </w:r>
      <w:bookmarkEnd w:id="746"/>
    </w:p>
    <w:p w14:paraId="550B385D" w14:textId="77777777" w:rsidR="00F772C6" w:rsidRDefault="00F772C6">
      <w:pPr>
        <w:pStyle w:val="BodyText"/>
      </w:pPr>
    </w:p>
    <w:p w14:paraId="2691DFCD" w14:textId="03BE4722" w:rsidR="00F77820" w:rsidRPr="004F69A1" w:rsidRDefault="00F77820">
      <w:pPr>
        <w:pStyle w:val="BodyText"/>
        <w:rPr>
          <w:b/>
          <w:bCs/>
          <w:u w:val="single"/>
        </w:rPr>
      </w:pPr>
      <w:r w:rsidRPr="004F69A1">
        <w:rPr>
          <w:b/>
          <w:bCs/>
          <w:u w:val="single"/>
        </w:rPr>
        <w:t>Single/multi-carrier operation</w:t>
      </w:r>
    </w:p>
    <w:p w14:paraId="35BBA79D" w14:textId="12449599" w:rsidR="00F77820" w:rsidRDefault="00F77820">
      <w:pPr>
        <w:pStyle w:val="BodyText"/>
      </w:pPr>
      <w:r>
        <w:t xml:space="preserve">For achieving wide bandwidth utilization, fundamentally single or multi-carrier operation can be utilized. The decision on which to utilize depends on </w:t>
      </w:r>
      <w:proofErr w:type="spellStart"/>
      <w:r>
        <w:t>gNB</w:t>
      </w:r>
      <w:proofErr w:type="spellEnd"/>
      <w:r>
        <w:t xml:space="preserve">/UE implementations and capabilities, the available spectrum, </w:t>
      </w:r>
      <w:r>
        <w:lastRenderedPageBreak/>
        <w:t>e.g., in unlicensed or licensed portions of the 52.6 – 71 GHz band, deployment scenario, etc. As both are equally valid modes of operation, and both are supported in Rel-15/16, we see no need to preclude one or the other.</w:t>
      </w:r>
      <w:r w:rsidR="00F772C6">
        <w:t xml:space="preserve"> However, we observe that the maximum carrier bandwidth is still under discussion.</w:t>
      </w:r>
    </w:p>
    <w:p w14:paraId="2200FA86" w14:textId="7915EDDD" w:rsidR="00F77820" w:rsidRPr="004F69A1" w:rsidRDefault="00F772C6" w:rsidP="004F69A1">
      <w:pPr>
        <w:pStyle w:val="Observation"/>
        <w:ind w:left="1620" w:hanging="1620"/>
      </w:pPr>
      <w:bookmarkStart w:id="747" w:name="_Toc53775931"/>
      <w:r>
        <w:t>For operation in the 52.6 – 71 GHz band, it is beneficial to support both single and multi-carrier operation to achieve wideband operation as is already supported in Rel-15/16. The maximum carrier bandwidth still requires further discussion.</w:t>
      </w:r>
      <w:bookmarkEnd w:id="747"/>
    </w:p>
    <w:p w14:paraId="0B5DF176" w14:textId="744590AA" w:rsidR="008A2C71" w:rsidRPr="00CE0424" w:rsidRDefault="00C31E07" w:rsidP="008A2C71">
      <w:pPr>
        <w:pStyle w:val="Heading1"/>
      </w:pPr>
      <w:bookmarkStart w:id="748" w:name="_Toc46307406"/>
      <w:bookmarkStart w:id="749" w:name="_Toc47530184"/>
      <w:bookmarkStart w:id="750" w:name="_Toc53775916"/>
      <w:r>
        <w:t>5</w:t>
      </w:r>
      <w:r>
        <w:tab/>
      </w:r>
      <w:r w:rsidR="008A2C71" w:rsidRPr="00CE0424">
        <w:t>Conclusion</w:t>
      </w:r>
      <w:bookmarkEnd w:id="748"/>
      <w:bookmarkEnd w:id="749"/>
      <w:bookmarkEnd w:id="750"/>
    </w:p>
    <w:p w14:paraId="38A6F6F5" w14:textId="075786B2" w:rsidR="008A1BF3" w:rsidRDefault="00F4098C" w:rsidP="008A2C71">
      <w:pPr>
        <w:pStyle w:val="BodyText"/>
      </w:pPr>
      <w:r>
        <w:t>In this contribution, we first discuss the selection of maximum channel bandwidth from regulatory, practical coexistence and engineering points of view. We then examine if the impact of different sub-carrier spacings on a diverse range of system aspects: (1) phase noise handling with extensive link level evaluation results, (2) cyclic prefix lengths and applicable environments, (3) frequency and timing estimation tolerance issues, (4) coverage and applicable deployments, and (5) processing time issues. Finally, we discuss a few potential enhancements that are beneficial to NR operation in 52.6 to 71 GHz.</w:t>
      </w:r>
      <w:sdt>
        <w:sdtPr>
          <w:id w:val="-1158602291"/>
          <w:docPartObj>
            <w:docPartGallery w:val="Table of Contents"/>
            <w:docPartUnique/>
          </w:docPartObj>
        </w:sdtPr>
        <w:sdtEndPr>
          <w:rPr>
            <w:b/>
            <w:bCs/>
            <w:noProof/>
          </w:rPr>
        </w:sdtEndPr>
        <w:sdtContent>
          <w:r>
            <w:t xml:space="preserve"> </w:t>
          </w:r>
          <w:r w:rsidR="00722808">
            <w:t>The following observations can be drawn:</w:t>
          </w:r>
        </w:sdtContent>
      </w:sdt>
    </w:p>
    <w:p w14:paraId="45493BB7" w14:textId="77777777" w:rsidR="00BE31F7" w:rsidRDefault="003C5C90">
      <w:pPr>
        <w:pStyle w:val="TableofFigures"/>
        <w:tabs>
          <w:tab w:val="right" w:leader="dot" w:pos="9629"/>
        </w:tabs>
        <w:rPr>
          <w:rFonts w:asciiTheme="minorHAnsi" w:eastAsiaTheme="minorEastAsia" w:hAnsiTheme="minorHAnsi" w:cstheme="minorBidi"/>
          <w:b w:val="0"/>
          <w:noProof/>
          <w:sz w:val="22"/>
          <w:szCs w:val="22"/>
          <w:lang w:eastAsia="en-US"/>
        </w:rPr>
      </w:pPr>
      <w:r>
        <w:rPr>
          <w:b w:val="0"/>
          <w:bCs/>
        </w:rPr>
        <w:fldChar w:fldCharType="begin"/>
      </w:r>
      <w:r>
        <w:rPr>
          <w:b w:val="0"/>
          <w:bCs/>
        </w:rPr>
        <w:instrText xml:space="preserve"> TOC \f O \n \h \z \t "Observation" \c </w:instrText>
      </w:r>
      <w:r>
        <w:rPr>
          <w:b w:val="0"/>
          <w:bCs/>
        </w:rPr>
        <w:fldChar w:fldCharType="separate"/>
      </w:r>
      <w:hyperlink w:anchor="_Toc53775918" w:history="1">
        <w:r w:rsidR="00BE31F7" w:rsidRPr="00F94FFB">
          <w:rPr>
            <w:rStyle w:val="Hyperlink"/>
            <w:noProof/>
          </w:rPr>
          <w:t>Observation 1</w:t>
        </w:r>
        <w:r w:rsidR="00BE31F7">
          <w:rPr>
            <w:rFonts w:asciiTheme="minorHAnsi" w:eastAsiaTheme="minorEastAsia" w:hAnsiTheme="minorHAnsi" w:cstheme="minorBidi"/>
            <w:b w:val="0"/>
            <w:noProof/>
            <w:sz w:val="22"/>
            <w:szCs w:val="22"/>
            <w:lang w:eastAsia="en-US"/>
          </w:rPr>
          <w:tab/>
        </w:r>
        <w:r w:rsidR="00BE31F7" w:rsidRPr="00F94FFB">
          <w:rPr>
            <w:rStyle w:val="Hyperlink"/>
            <w:noProof/>
            <w:lang w:val="en-GB"/>
          </w:rPr>
          <w:t>There is no regulatory or practical need to align the channel bandwidth (e.g., 2.16 GHz) with other technologies operating in the same 60 GHz band for coexistence purposes.</w:t>
        </w:r>
      </w:hyperlink>
    </w:p>
    <w:p w14:paraId="2584B5EC" w14:textId="77777777" w:rsidR="00BE31F7" w:rsidRDefault="00BE31F7">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5919" w:history="1">
        <w:r w:rsidRPr="00F94FFB">
          <w:rPr>
            <w:rStyle w:val="Hyperlink"/>
            <w:noProof/>
          </w:rPr>
          <w:t>Observation 2</w:t>
        </w:r>
        <w:r>
          <w:rPr>
            <w:rFonts w:asciiTheme="minorHAnsi" w:eastAsiaTheme="minorEastAsia" w:hAnsiTheme="minorHAnsi" w:cstheme="minorBidi"/>
            <w:b w:val="0"/>
            <w:noProof/>
            <w:sz w:val="22"/>
            <w:szCs w:val="22"/>
            <w:lang w:eastAsia="en-US"/>
          </w:rPr>
          <w:tab/>
        </w:r>
        <w:r w:rsidRPr="00F94FFB">
          <w:rPr>
            <w:rStyle w:val="Hyperlink"/>
            <w:noProof/>
          </w:rPr>
          <w:t>For operation in the 52.6 – 71 GHz band, basic tools in the Rel-16 specifications, e.g., FR2 initial access framework, BWP switching, CA/DC activation already support both standalone and non-standalone deployments that can ensure coverage. It is not needed to specify coverage enhancement approaches for larger SCS for initial access signals and channels or for control/data channels.</w:t>
        </w:r>
      </w:hyperlink>
    </w:p>
    <w:p w14:paraId="6F43DB6C" w14:textId="77777777" w:rsidR="00BE31F7" w:rsidRDefault="00BE31F7">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5920" w:history="1">
        <w:r w:rsidRPr="00F94FFB">
          <w:rPr>
            <w:rStyle w:val="Hyperlink"/>
            <w:noProof/>
          </w:rPr>
          <w:t>Observation 3</w:t>
        </w:r>
        <w:r>
          <w:rPr>
            <w:rFonts w:asciiTheme="minorHAnsi" w:eastAsiaTheme="minorEastAsia" w:hAnsiTheme="minorHAnsi" w:cstheme="minorBidi"/>
            <w:b w:val="0"/>
            <w:noProof/>
            <w:sz w:val="22"/>
            <w:szCs w:val="22"/>
            <w:lang w:eastAsia="en-US"/>
          </w:rPr>
          <w:tab/>
        </w:r>
        <w:r w:rsidRPr="00F94FFB">
          <w:rPr>
            <w:rStyle w:val="Hyperlink"/>
            <w:noProof/>
          </w:rPr>
          <w:t>For selection of suitable SCS for the 52.6 – 71 GHz frequency range, it is important to perform link level evaluations with sufficiently large post-beamforming RMS delay spreads that are representative of a suitable range of deployment scenarios including the indoor factory scenario analyzed above (e.g., up to at least 40 ns using the agreed TDL-A model). It is important to consider the margin left over for other sources of time synchronization error such as initial timing error, timing advance setting, timing advance adjustment granularity, and timing differences expected in multi-TRP deployments.</w:t>
        </w:r>
      </w:hyperlink>
    </w:p>
    <w:p w14:paraId="1945C362" w14:textId="77777777" w:rsidR="00BE31F7" w:rsidRDefault="00BE31F7">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5921" w:history="1">
        <w:r w:rsidRPr="00F94FFB">
          <w:rPr>
            <w:rStyle w:val="Hyperlink"/>
            <w:noProof/>
          </w:rPr>
          <w:t>Observation 4</w:t>
        </w:r>
        <w:r>
          <w:rPr>
            <w:rFonts w:asciiTheme="minorHAnsi" w:eastAsiaTheme="minorEastAsia" w:hAnsiTheme="minorHAnsi" w:cstheme="minorBidi"/>
            <w:b w:val="0"/>
            <w:noProof/>
            <w:sz w:val="22"/>
            <w:szCs w:val="22"/>
            <w:lang w:eastAsia="en-US"/>
          </w:rPr>
          <w:tab/>
        </w:r>
        <w:r w:rsidRPr="00F94FFB">
          <w:rPr>
            <w:rStyle w:val="Hyperlink"/>
            <w:noProof/>
          </w:rPr>
          <w:t>A higher UL SCS puts tighter requirements on UE initial UL timing accuracy.</w:t>
        </w:r>
      </w:hyperlink>
    </w:p>
    <w:p w14:paraId="246557E7" w14:textId="77777777" w:rsidR="00BE31F7" w:rsidRDefault="00BE31F7">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5922" w:history="1">
        <w:r w:rsidRPr="00F94FFB">
          <w:rPr>
            <w:rStyle w:val="Hyperlink"/>
            <w:noProof/>
            <w:lang w:val="en-GB"/>
          </w:rPr>
          <w:t>Observation 5</w:t>
        </w:r>
        <w:r>
          <w:rPr>
            <w:rFonts w:asciiTheme="minorHAnsi" w:eastAsiaTheme="minorEastAsia" w:hAnsiTheme="minorHAnsi" w:cstheme="minorBidi"/>
            <w:b w:val="0"/>
            <w:noProof/>
            <w:sz w:val="22"/>
            <w:szCs w:val="22"/>
            <w:lang w:eastAsia="en-US"/>
          </w:rPr>
          <w:tab/>
        </w:r>
        <w:r w:rsidRPr="00F94FFB">
          <w:rPr>
            <w:rStyle w:val="Hyperlink"/>
            <w:noProof/>
          </w:rPr>
          <w:t>A higher UL SCS puts tighter requirements on the absolute UE UL timing advance adjustment accuracy.</w:t>
        </w:r>
      </w:hyperlink>
    </w:p>
    <w:p w14:paraId="5EE9EF77" w14:textId="77777777" w:rsidR="00BE31F7" w:rsidRDefault="00BE31F7">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5923" w:history="1">
        <w:r w:rsidRPr="00F94FFB">
          <w:rPr>
            <w:rStyle w:val="Hyperlink"/>
            <w:noProof/>
          </w:rPr>
          <w:t>Observation 6</w:t>
        </w:r>
        <w:r>
          <w:rPr>
            <w:rFonts w:asciiTheme="minorHAnsi" w:eastAsiaTheme="minorEastAsia" w:hAnsiTheme="minorHAnsi" w:cstheme="minorBidi"/>
            <w:b w:val="0"/>
            <w:noProof/>
            <w:sz w:val="22"/>
            <w:szCs w:val="22"/>
            <w:lang w:eastAsia="en-US"/>
          </w:rPr>
          <w:tab/>
        </w:r>
        <w:r w:rsidRPr="00F94FFB">
          <w:rPr>
            <w:rStyle w:val="Hyperlink"/>
            <w:noProof/>
          </w:rPr>
          <w:t>The times provisioned for UE processing grow exponentially with the numerology. Large processing latencies restrict the achievable throughputs, defeating the purpose of enabling large bandwidths with large sub-carrier spacings.</w:t>
        </w:r>
      </w:hyperlink>
    </w:p>
    <w:p w14:paraId="4F948B0F" w14:textId="77777777" w:rsidR="00BE31F7" w:rsidRDefault="00BE31F7">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5924" w:history="1">
        <w:r w:rsidRPr="00F94FFB">
          <w:rPr>
            <w:rStyle w:val="Hyperlink"/>
            <w:noProof/>
          </w:rPr>
          <w:t>Observation 7</w:t>
        </w:r>
        <w:r>
          <w:rPr>
            <w:rFonts w:asciiTheme="minorHAnsi" w:eastAsiaTheme="minorEastAsia" w:hAnsiTheme="minorHAnsi" w:cstheme="minorBidi"/>
            <w:b w:val="0"/>
            <w:noProof/>
            <w:sz w:val="22"/>
            <w:szCs w:val="22"/>
            <w:lang w:eastAsia="en-US"/>
          </w:rPr>
          <w:tab/>
        </w:r>
        <w:r w:rsidRPr="00F94FFB">
          <w:rPr>
            <w:rStyle w:val="Hyperlink"/>
            <w:noProof/>
          </w:rPr>
          <w:t>Scheduling restrictions during RRM, RLM and beam management procedures are the responsibility of RAN4 and thus need not to be discussed further in RAN1.</w:t>
        </w:r>
      </w:hyperlink>
    </w:p>
    <w:p w14:paraId="10A7AEB2" w14:textId="77777777" w:rsidR="00BE31F7" w:rsidRDefault="00BE31F7">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5925" w:history="1">
        <w:r w:rsidRPr="00F94FFB">
          <w:rPr>
            <w:rStyle w:val="Hyperlink"/>
            <w:noProof/>
          </w:rPr>
          <w:t>Observation 8</w:t>
        </w:r>
        <w:r>
          <w:rPr>
            <w:rFonts w:asciiTheme="minorHAnsi" w:eastAsiaTheme="minorEastAsia" w:hAnsiTheme="minorHAnsi" w:cstheme="minorBidi"/>
            <w:b w:val="0"/>
            <w:noProof/>
            <w:sz w:val="22"/>
            <w:szCs w:val="22"/>
            <w:lang w:eastAsia="en-US"/>
          </w:rPr>
          <w:tab/>
        </w:r>
        <w:r w:rsidRPr="00F94FFB">
          <w:rPr>
            <w:rStyle w:val="Hyperlink"/>
            <w:noProof/>
          </w:rPr>
          <w:t>If PRACH uses 120 kHz SCS, data transmission can still use higher subcarrier spacings through BWP switching.</w:t>
        </w:r>
      </w:hyperlink>
    </w:p>
    <w:p w14:paraId="0BE599E4" w14:textId="77777777" w:rsidR="00BE31F7" w:rsidRDefault="00BE31F7">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5926" w:history="1">
        <w:r w:rsidRPr="00F94FFB">
          <w:rPr>
            <w:rStyle w:val="Hyperlink"/>
            <w:noProof/>
          </w:rPr>
          <w:t>Observation 9</w:t>
        </w:r>
        <w:r>
          <w:rPr>
            <w:rFonts w:asciiTheme="minorHAnsi" w:eastAsiaTheme="minorEastAsia" w:hAnsiTheme="minorHAnsi" w:cstheme="minorBidi"/>
            <w:b w:val="0"/>
            <w:noProof/>
            <w:sz w:val="22"/>
            <w:szCs w:val="22"/>
            <w:lang w:eastAsia="en-US"/>
          </w:rPr>
          <w:tab/>
        </w:r>
        <w:r w:rsidRPr="00F94FFB">
          <w:rPr>
            <w:rStyle w:val="Hyperlink"/>
            <w:noProof/>
          </w:rPr>
          <w:t>PRB-based interlacing is not beneficial for SCS ≥ 120 kHz</w:t>
        </w:r>
      </w:hyperlink>
    </w:p>
    <w:p w14:paraId="024D6E4A" w14:textId="77777777" w:rsidR="00BE31F7" w:rsidRDefault="00BE31F7">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5927" w:history="1">
        <w:r w:rsidRPr="00F94FFB">
          <w:rPr>
            <w:rStyle w:val="Hyperlink"/>
            <w:noProof/>
          </w:rPr>
          <w:t>Observation 10</w:t>
        </w:r>
        <w:r>
          <w:rPr>
            <w:rFonts w:asciiTheme="minorHAnsi" w:eastAsiaTheme="minorEastAsia" w:hAnsiTheme="minorHAnsi" w:cstheme="minorBidi"/>
            <w:b w:val="0"/>
            <w:noProof/>
            <w:sz w:val="22"/>
            <w:szCs w:val="22"/>
            <w:lang w:eastAsia="en-US"/>
          </w:rPr>
          <w:tab/>
        </w:r>
        <w:r w:rsidRPr="00F94FFB">
          <w:rPr>
            <w:rStyle w:val="Hyperlink"/>
            <w:noProof/>
          </w:rPr>
          <w:t>Sub-PRB interlacing is not beneficial for SCS ≥ 960 kHz</w:t>
        </w:r>
      </w:hyperlink>
    </w:p>
    <w:p w14:paraId="6F8CB1AC" w14:textId="77777777" w:rsidR="00BE31F7" w:rsidRDefault="00BE31F7">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5928" w:history="1">
        <w:r w:rsidRPr="00F94FFB">
          <w:rPr>
            <w:rStyle w:val="Hyperlink"/>
            <w:noProof/>
          </w:rPr>
          <w:t>Observation 11</w:t>
        </w:r>
        <w:r>
          <w:rPr>
            <w:rFonts w:asciiTheme="minorHAnsi" w:eastAsiaTheme="minorEastAsia" w:hAnsiTheme="minorHAnsi" w:cstheme="minorBidi"/>
            <w:b w:val="0"/>
            <w:noProof/>
            <w:sz w:val="22"/>
            <w:szCs w:val="22"/>
            <w:lang w:eastAsia="en-US"/>
          </w:rPr>
          <w:tab/>
        </w:r>
        <w:r w:rsidRPr="00F94FFB">
          <w:rPr>
            <w:rStyle w:val="Hyperlink"/>
            <w:noProof/>
          </w:rPr>
          <w:t>Both PRB and sub-PRB interlacing is not beneficial for large frequency resource allocations</w:t>
        </w:r>
      </w:hyperlink>
    </w:p>
    <w:p w14:paraId="0388F473" w14:textId="77777777" w:rsidR="00BE31F7" w:rsidRDefault="00BE31F7">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5929" w:history="1">
        <w:r w:rsidRPr="00F94FFB">
          <w:rPr>
            <w:rStyle w:val="Hyperlink"/>
            <w:noProof/>
            <w:lang w:val="en-GB"/>
          </w:rPr>
          <w:t>Observation 12</w:t>
        </w:r>
        <w:r>
          <w:rPr>
            <w:rFonts w:asciiTheme="minorHAnsi" w:eastAsiaTheme="minorEastAsia" w:hAnsiTheme="minorHAnsi" w:cstheme="minorBidi"/>
            <w:b w:val="0"/>
            <w:noProof/>
            <w:sz w:val="22"/>
            <w:szCs w:val="22"/>
            <w:lang w:eastAsia="en-US"/>
          </w:rPr>
          <w:tab/>
        </w:r>
        <w:r w:rsidRPr="00F94FFB">
          <w:rPr>
            <w:rStyle w:val="Hyperlink"/>
            <w:noProof/>
            <w:lang w:val="en-GB"/>
          </w:rPr>
          <w:t xml:space="preserve">Because of larger processing latencies, </w:t>
        </w:r>
        <w:r w:rsidRPr="00F94FFB">
          <w:rPr>
            <w:rStyle w:val="Hyperlink"/>
            <w:noProof/>
          </w:rPr>
          <w:t>the numbers of DL and UL HARQ processes may need to be increased. Otherwise, physical layer specification and implementation changes compared to Rel-15 may be needed to sustain high data throughput.</w:t>
        </w:r>
      </w:hyperlink>
    </w:p>
    <w:p w14:paraId="3816859E" w14:textId="77777777" w:rsidR="00BE31F7" w:rsidRDefault="00BE31F7">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5930" w:history="1">
        <w:r w:rsidRPr="00F94FFB">
          <w:rPr>
            <w:rStyle w:val="Hyperlink"/>
            <w:noProof/>
          </w:rPr>
          <w:t>Observation 13</w:t>
        </w:r>
        <w:r>
          <w:rPr>
            <w:rFonts w:asciiTheme="minorHAnsi" w:eastAsiaTheme="minorEastAsia" w:hAnsiTheme="minorHAnsi" w:cstheme="minorBidi"/>
            <w:b w:val="0"/>
            <w:noProof/>
            <w:sz w:val="22"/>
            <w:szCs w:val="22"/>
            <w:lang w:eastAsia="en-US"/>
          </w:rPr>
          <w:tab/>
        </w:r>
        <w:r w:rsidRPr="00F94FFB">
          <w:rPr>
            <w:rStyle w:val="Hyperlink"/>
            <w:noProof/>
          </w:rPr>
          <w:t>TDD switching time requirements for the 52.6 – 71 GHz band are the responsibility of RAN4 and thus do not need to be further discussed in RAN1.</w:t>
        </w:r>
      </w:hyperlink>
    </w:p>
    <w:p w14:paraId="5310CDD2" w14:textId="77777777" w:rsidR="00BE31F7" w:rsidRDefault="00BE31F7">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5931" w:history="1">
        <w:r w:rsidRPr="00F94FFB">
          <w:rPr>
            <w:rStyle w:val="Hyperlink"/>
            <w:noProof/>
          </w:rPr>
          <w:t>Observation 14</w:t>
        </w:r>
        <w:r>
          <w:rPr>
            <w:rFonts w:asciiTheme="minorHAnsi" w:eastAsiaTheme="minorEastAsia" w:hAnsiTheme="minorHAnsi" w:cstheme="minorBidi"/>
            <w:b w:val="0"/>
            <w:noProof/>
            <w:sz w:val="22"/>
            <w:szCs w:val="22"/>
            <w:lang w:eastAsia="en-US"/>
          </w:rPr>
          <w:tab/>
        </w:r>
        <w:r w:rsidRPr="00F94FFB">
          <w:rPr>
            <w:rStyle w:val="Hyperlink"/>
            <w:noProof/>
          </w:rPr>
          <w:t>For operation in the 52.6 – 71 GHz band, it is beneficial to support both single and multi-carrier operation to achieve wideband operation as is already supported in Rel-15/16. The maximum carrier bandwidth still requires further discussion.</w:t>
        </w:r>
      </w:hyperlink>
    </w:p>
    <w:p w14:paraId="6494FB32" w14:textId="46B4DFCF" w:rsidR="00952281" w:rsidRDefault="003C5C90" w:rsidP="003C5C90">
      <w:pPr>
        <w:pStyle w:val="BodyText"/>
      </w:pPr>
      <w:r>
        <w:rPr>
          <w:b/>
          <w:bCs/>
        </w:rPr>
        <w:fldChar w:fldCharType="end"/>
      </w:r>
    </w:p>
    <w:p w14:paraId="2AEA934E" w14:textId="5708E475" w:rsidR="003C5C90" w:rsidRDefault="004E76D1" w:rsidP="008A2C71">
      <w:pPr>
        <w:pStyle w:val="BodyText"/>
      </w:pPr>
      <w:r>
        <w:t>Based on the extensive analysis and observations provide in this contribution, we propose</w:t>
      </w:r>
    </w:p>
    <w:p w14:paraId="7FD3F728" w14:textId="77777777" w:rsidR="004201BE" w:rsidRDefault="00A47FE3">
      <w:pPr>
        <w:pStyle w:val="TableofFigures"/>
        <w:tabs>
          <w:tab w:val="right" w:leader="dot" w:pos="9629"/>
        </w:tabs>
        <w:rPr>
          <w:rFonts w:asciiTheme="minorHAnsi" w:eastAsiaTheme="minorEastAsia" w:hAnsiTheme="minorHAnsi" w:cstheme="minorBidi"/>
          <w:b w:val="0"/>
          <w:noProof/>
          <w:sz w:val="22"/>
          <w:szCs w:val="22"/>
          <w:lang w:eastAsia="en-US"/>
        </w:rPr>
      </w:pPr>
      <w:r>
        <w:rPr>
          <w:b w:val="0"/>
          <w:bCs/>
        </w:rPr>
        <w:fldChar w:fldCharType="begin"/>
      </w:r>
      <w:r>
        <w:rPr>
          <w:b w:val="0"/>
          <w:bCs/>
        </w:rPr>
        <w:instrText xml:space="preserve"> TOC \n \h \z \t "Proposal" \c </w:instrText>
      </w:r>
      <w:r>
        <w:rPr>
          <w:b w:val="0"/>
          <w:bCs/>
        </w:rPr>
        <w:fldChar w:fldCharType="separate"/>
      </w:r>
      <w:hyperlink w:anchor="_Toc53776182" w:history="1">
        <w:r w:rsidR="004201BE" w:rsidRPr="00EB3CF7">
          <w:rPr>
            <w:rStyle w:val="Hyperlink"/>
            <w:noProof/>
          </w:rPr>
          <w:t>Proposal 1</w:t>
        </w:r>
        <w:r w:rsidR="004201BE">
          <w:rPr>
            <w:rFonts w:asciiTheme="minorHAnsi" w:eastAsiaTheme="minorEastAsia" w:hAnsiTheme="minorHAnsi" w:cstheme="minorBidi"/>
            <w:b w:val="0"/>
            <w:noProof/>
            <w:sz w:val="22"/>
            <w:szCs w:val="22"/>
            <w:lang w:eastAsia="en-US"/>
          </w:rPr>
          <w:tab/>
        </w:r>
        <w:r w:rsidR="004201BE" w:rsidRPr="00EB3CF7">
          <w:rPr>
            <w:rStyle w:val="Hyperlink"/>
            <w:noProof/>
          </w:rPr>
          <w:t>Capture the following observation in TR 38.808. If NR adopts the same channelization design as IEEE 802.11ad/ay, large wastage of spectrum would occur in many regions.</w:t>
        </w:r>
      </w:hyperlink>
    </w:p>
    <w:p w14:paraId="01BDC175"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83" w:history="1">
        <w:r w:rsidRPr="00EB3CF7">
          <w:rPr>
            <w:rStyle w:val="Hyperlink"/>
            <w:noProof/>
          </w:rPr>
          <w:t>Proposal 2</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It is beneficial to define NR channelization to allow full utilization of the various regional frequency allocations around the world. It is not necessary to align NR channelization with IEEE 802.11ad channelization from a coexistence point of view.</w:t>
        </w:r>
      </w:hyperlink>
    </w:p>
    <w:p w14:paraId="67B345CC"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84" w:history="1">
        <w:r w:rsidRPr="00EB3CF7">
          <w:rPr>
            <w:rStyle w:val="Hyperlink"/>
            <w:noProof/>
          </w:rPr>
          <w:t>Proposal 3</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the TR: Targeting 2.16 GHz channel bandwidth results in low FFT utilization compared to Rel-15/16, causing larger computation overhead, and thus larger power consumption.</w:t>
        </w:r>
      </w:hyperlink>
    </w:p>
    <w:p w14:paraId="638987F7"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85" w:history="1">
        <w:r w:rsidRPr="00EB3CF7">
          <w:rPr>
            <w:rStyle w:val="Hyperlink"/>
            <w:noProof/>
          </w:rPr>
          <w:t>Proposal 4</w:t>
        </w:r>
        <w:r>
          <w:rPr>
            <w:rFonts w:asciiTheme="minorHAnsi" w:eastAsiaTheme="minorEastAsia" w:hAnsiTheme="minorHAnsi" w:cstheme="minorBidi"/>
            <w:b w:val="0"/>
            <w:noProof/>
            <w:sz w:val="22"/>
            <w:szCs w:val="22"/>
            <w:lang w:eastAsia="en-US"/>
          </w:rPr>
          <w:tab/>
        </w:r>
        <w:r w:rsidRPr="00EB3CF7">
          <w:rPr>
            <w:rStyle w:val="Hyperlink"/>
            <w:noProof/>
          </w:rPr>
          <w:t>Consider channel bandwidths up to 1.6 GHz for NR operation in 52.6 to 71 GHz.</w:t>
        </w:r>
      </w:hyperlink>
    </w:p>
    <w:p w14:paraId="2E31EBF1"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86" w:history="1">
        <w:r w:rsidRPr="00EB3CF7">
          <w:rPr>
            <w:rStyle w:val="Hyperlink"/>
            <w:noProof/>
          </w:rPr>
          <w:t>Proposal 5</w:t>
        </w:r>
        <w:r>
          <w:rPr>
            <w:rFonts w:asciiTheme="minorHAnsi" w:eastAsiaTheme="minorEastAsia" w:hAnsiTheme="minorHAnsi" w:cstheme="minorBidi"/>
            <w:b w:val="0"/>
            <w:noProof/>
            <w:sz w:val="22"/>
            <w:szCs w:val="22"/>
            <w:lang w:eastAsia="en-US"/>
          </w:rPr>
          <w:tab/>
        </w:r>
        <w:r w:rsidRPr="00EB3CF7">
          <w:rPr>
            <w:rStyle w:val="Hyperlink"/>
            <w:noProof/>
          </w:rPr>
          <w:t>Consider sub-carrier spacings up to 480 kHz for NR operation in 52.6 to 71 GHz.</w:t>
        </w:r>
      </w:hyperlink>
    </w:p>
    <w:p w14:paraId="4C3554E4"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87" w:history="1">
        <w:r w:rsidRPr="00EB3CF7">
          <w:rPr>
            <w:rStyle w:val="Hyperlink"/>
            <w:noProof/>
          </w:rPr>
          <w:t>Proposal 6</w:t>
        </w:r>
        <w:r>
          <w:rPr>
            <w:rFonts w:asciiTheme="minorHAnsi" w:eastAsiaTheme="minorEastAsia" w:hAnsiTheme="minorHAnsi" w:cstheme="minorBidi"/>
            <w:b w:val="0"/>
            <w:noProof/>
            <w:sz w:val="22"/>
            <w:szCs w:val="22"/>
            <w:lang w:eastAsia="en-US"/>
          </w:rPr>
          <w:tab/>
        </w:r>
        <w:r w:rsidRPr="00EB3CF7">
          <w:rPr>
            <w:rStyle w:val="Hyperlink"/>
            <w:noProof/>
          </w:rPr>
          <w:t>Capture the following text in TR 38.808: Increased SCS translates to a loss in coverage for initial access signals and channels (SS/PBCH block, PRACH), fixed payload channels (e.g., PDCCH/PUCCH), and variable payload channels (e.g., PDSCH/PUSCH) due to shorter OFDM symbol duration.</w:t>
        </w:r>
      </w:hyperlink>
    </w:p>
    <w:p w14:paraId="35068E96"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88" w:history="1">
        <w:r w:rsidRPr="00EB3CF7">
          <w:rPr>
            <w:rStyle w:val="Hyperlink"/>
            <w:noProof/>
          </w:rPr>
          <w:t>Proposal 7</w:t>
        </w:r>
        <w:r>
          <w:rPr>
            <w:rFonts w:asciiTheme="minorHAnsi" w:eastAsiaTheme="minorEastAsia" w:hAnsiTheme="minorHAnsi" w:cstheme="minorBidi"/>
            <w:b w:val="0"/>
            <w:noProof/>
            <w:sz w:val="22"/>
            <w:szCs w:val="22"/>
            <w:lang w:eastAsia="en-US"/>
          </w:rPr>
          <w:tab/>
        </w:r>
        <w:r w:rsidRPr="00EB3CF7">
          <w:rPr>
            <w:rStyle w:val="Hyperlink"/>
            <w:noProof/>
          </w:rPr>
          <w:t>In TR 38.808, change the system level evaluation assumption for Factory Scenario A from Dense Clutter &amp; Low BS (InF-DL) to Dense Clutter &amp; High BS (InF-DH) to be consistent with ceiling mounted gNBs.</w:t>
        </w:r>
      </w:hyperlink>
    </w:p>
    <w:p w14:paraId="5798EF93"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89" w:history="1">
        <w:r w:rsidRPr="00EB3CF7">
          <w:rPr>
            <w:rStyle w:val="Hyperlink"/>
            <w:noProof/>
          </w:rPr>
          <w:t>Proposal 8</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Factory Scenario A (InF-DH) results in post-beamforming delay spreads that are a significant fraction of the CP duration for 960 kHz SCS.</w:t>
        </w:r>
      </w:hyperlink>
    </w:p>
    <w:p w14:paraId="212BC780"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90" w:history="1">
        <w:r w:rsidRPr="00EB3CF7">
          <w:rPr>
            <w:rStyle w:val="Hyperlink"/>
            <w:noProof/>
          </w:rPr>
          <w:t>Proposal 9</w:t>
        </w:r>
        <w:r>
          <w:rPr>
            <w:rFonts w:asciiTheme="minorHAnsi" w:eastAsiaTheme="minorEastAsia" w:hAnsiTheme="minorHAnsi" w:cstheme="minorBidi"/>
            <w:b w:val="0"/>
            <w:noProof/>
            <w:sz w:val="22"/>
            <w:szCs w:val="22"/>
            <w:lang w:eastAsia="en-US"/>
          </w:rPr>
          <w:tab/>
        </w:r>
        <w:r w:rsidRPr="00EB3CF7">
          <w:rPr>
            <w:rStyle w:val="Hyperlink"/>
            <w:noProof/>
          </w:rPr>
          <w:t>Capture the following in TR 38.808: Link evaluation based on phase model Ex 2, with characteristics not reflecting realistic devices or current state of the technology, can lead to pessimistic assessment of smaller sub-carrier spacings. It is important for 3GPP to adopt more suitable phase noise models in the discussion and system designs for NR operation in 52.7 – 71 GHz range.</w:t>
        </w:r>
      </w:hyperlink>
    </w:p>
    <w:p w14:paraId="27913EF6"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91" w:history="1">
        <w:r w:rsidRPr="00EB3CF7">
          <w:rPr>
            <w:rStyle w:val="Hyperlink"/>
            <w:noProof/>
          </w:rPr>
          <w:t>Proposal 10</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Effective mitigation of ICI caused by phase noises for OFDM can be performed using the existing Rel-15 NR distributed PT-RS structure.</w:t>
        </w:r>
      </w:hyperlink>
    </w:p>
    <w:p w14:paraId="0A292575"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92" w:history="1">
        <w:r w:rsidRPr="00EB3CF7">
          <w:rPr>
            <w:rStyle w:val="Hyperlink"/>
            <w:noProof/>
          </w:rPr>
          <w:t>Proposal 11</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Systems with smaller sub-carrier spacing equipped with simple ICI compensation is on par or better than systems with larger sub-carrier spacing equipped with only CPE compensation.</w:t>
        </w:r>
      </w:hyperlink>
    </w:p>
    <w:p w14:paraId="678EB4EC"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93" w:history="1">
        <w:r w:rsidRPr="00EB3CF7">
          <w:rPr>
            <w:rStyle w:val="Hyperlink"/>
            <w:noProof/>
          </w:rPr>
          <w:t>Proposal 12</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960 kHz SCS ECP MCS 22 performs worse than 480 kHz SCS NCP MCS 22 even for allowing lower data rates carried by ECP. On an equal data rate basis, 480 kHz SCS NCP MCS 22 is more than 6 dB better than 960 kHz SCS ECP MCS 25.</w:t>
        </w:r>
      </w:hyperlink>
    </w:p>
    <w:p w14:paraId="68BF9D25"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94" w:history="1">
        <w:r w:rsidRPr="00EB3CF7">
          <w:rPr>
            <w:rStyle w:val="Hyperlink"/>
            <w:noProof/>
          </w:rPr>
          <w:t>Proposal 13</w:t>
        </w:r>
        <w:r>
          <w:rPr>
            <w:rFonts w:asciiTheme="minorHAnsi" w:eastAsiaTheme="minorEastAsia" w:hAnsiTheme="minorHAnsi" w:cstheme="minorBidi"/>
            <w:b w:val="0"/>
            <w:noProof/>
            <w:sz w:val="22"/>
            <w:szCs w:val="22"/>
            <w:lang w:eastAsia="en-US"/>
          </w:rPr>
          <w:tab/>
        </w:r>
        <w:r w:rsidRPr="00EB3CF7">
          <w:rPr>
            <w:rStyle w:val="Hyperlink"/>
            <w:noProof/>
          </w:rPr>
          <w:t>Extended CP is not to be considered further for NR operation in 52.6 to 71 GHz.</w:t>
        </w:r>
      </w:hyperlink>
    </w:p>
    <w:p w14:paraId="19FC855C"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95" w:history="1">
        <w:r w:rsidRPr="00EB3CF7">
          <w:rPr>
            <w:rStyle w:val="Hyperlink"/>
            <w:noProof/>
          </w:rPr>
          <w:t>Proposal 14</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Phase noise induced performance issues for the DFT-s-OFDM waveform in the 52.6 – 71 GHz frequency range can be addressed with the Rel-15 uplink PTRS structure and currently supported SCS values, e.g., 120 kHz.</w:t>
        </w:r>
      </w:hyperlink>
    </w:p>
    <w:p w14:paraId="0794EA00"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96" w:history="1">
        <w:r w:rsidRPr="00EB3CF7">
          <w:rPr>
            <w:rStyle w:val="Hyperlink"/>
            <w:noProof/>
          </w:rPr>
          <w:t>Proposal 15</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By proper choice of SSB SCS, the initial cell search complexity can be kept at the same level as for FR1 and FR2.</w:t>
        </w:r>
      </w:hyperlink>
    </w:p>
    <w:p w14:paraId="76E1B1BA"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97" w:history="1">
        <w:r w:rsidRPr="00EB3CF7">
          <w:rPr>
            <w:rStyle w:val="Hyperlink"/>
            <w:noProof/>
          </w:rPr>
          <w:t>Proposal 16</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w:t>
        </w:r>
        <w:r w:rsidRPr="00EB3CF7">
          <w:rPr>
            <w:rStyle w:val="Hyperlink"/>
            <w:noProof/>
            <w:lang w:val="en-GB"/>
          </w:rPr>
          <w:t xml:space="preserve"> </w:t>
        </w:r>
        <w:r w:rsidRPr="00EB3CF7">
          <w:rPr>
            <w:rStyle w:val="Hyperlink"/>
            <w:noProof/>
          </w:rPr>
          <w:t>From a frequency error perspective, an SSB SCS of 240 kHz is sufficient for the 52.6-71 GHz frequency range to maintain similar relative error values as for FR1 and FR2</w:t>
        </w:r>
        <w:r w:rsidRPr="00EB3CF7">
          <w:rPr>
            <w:rStyle w:val="Hyperlink"/>
            <w:noProof/>
            <w:lang w:val="en-GB"/>
          </w:rPr>
          <w:t>.</w:t>
        </w:r>
      </w:hyperlink>
    </w:p>
    <w:p w14:paraId="4B6C2175"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98" w:history="1">
        <w:r w:rsidRPr="00EB3CF7">
          <w:rPr>
            <w:rStyle w:val="Hyperlink"/>
            <w:noProof/>
          </w:rPr>
          <w:t>Proposal 17</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To avoid further tightening the UE requirement on UL timing error in relation to 1/SCS</w:t>
        </w:r>
        <w:r w:rsidRPr="00EB3CF7">
          <w:rPr>
            <w:rStyle w:val="Hyperlink"/>
            <w:noProof/>
            <w:vertAlign w:val="subscript"/>
          </w:rPr>
          <w:t xml:space="preserve">SSB </w:t>
        </w:r>
        <w:r w:rsidRPr="00EB3CF7">
          <w:rPr>
            <w:rStyle w:val="Hyperlink"/>
            <w:noProof/>
          </w:rPr>
          <w:t>compared to current specifications, the UL SCS should not be more than twice that of the SSB SCS. Using existing Rel-16 specifications for SSB, this can be achieved with 240 kHz SCS for SSB and 480 kHz for UL SCS.</w:t>
        </w:r>
      </w:hyperlink>
    </w:p>
    <w:p w14:paraId="0E4C6D22"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199" w:history="1">
        <w:r w:rsidRPr="00EB3CF7">
          <w:rPr>
            <w:rStyle w:val="Hyperlink"/>
            <w:noProof/>
          </w:rPr>
          <w:t>Proposal 18</w:t>
        </w:r>
        <w:r>
          <w:rPr>
            <w:rFonts w:asciiTheme="minorHAnsi" w:eastAsiaTheme="minorEastAsia" w:hAnsiTheme="minorHAnsi" w:cstheme="minorBidi"/>
            <w:b w:val="0"/>
            <w:noProof/>
            <w:sz w:val="22"/>
            <w:szCs w:val="22"/>
            <w:lang w:eastAsia="en-US"/>
          </w:rPr>
          <w:tab/>
        </w:r>
        <w:r w:rsidRPr="00EB3CF7">
          <w:rPr>
            <w:rStyle w:val="Hyperlink"/>
            <w:noProof/>
          </w:rPr>
          <w:t xml:space="preserve">Capture the following observation in TR 38.808: For 960 kHz, </w:t>
        </w:r>
        <w:r w:rsidRPr="00EB3CF7">
          <w:rPr>
            <w:rStyle w:val="Hyperlink"/>
            <w:noProof/>
            <w:lang w:val="en-GB"/>
          </w:rPr>
          <w:t xml:space="preserve">maintaining UL timing within the CP becomes very challenging even without taking multi-TRP deployments into account. </w:t>
        </w:r>
        <w:r w:rsidRPr="00EB3CF7">
          <w:rPr>
            <w:rStyle w:val="Hyperlink"/>
            <w:noProof/>
          </w:rPr>
          <w:t xml:space="preserve">When taking </w:t>
        </w:r>
        <w:r w:rsidRPr="00EB3CF7">
          <w:rPr>
            <w:rStyle w:val="Hyperlink"/>
            <w:noProof/>
            <w:lang w:val="en-GB"/>
          </w:rPr>
          <w:t>multi-TRP deployments</w:t>
        </w:r>
        <w:r w:rsidRPr="00EB3CF7">
          <w:rPr>
            <w:rStyle w:val="Hyperlink"/>
            <w:noProof/>
          </w:rPr>
          <w:t xml:space="preserve"> into account, it becomes practically infeasible.</w:t>
        </w:r>
      </w:hyperlink>
    </w:p>
    <w:p w14:paraId="25036CD9"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00" w:history="1">
        <w:r w:rsidRPr="00EB3CF7">
          <w:rPr>
            <w:rStyle w:val="Hyperlink"/>
            <w:noProof/>
            <w:lang w:val="en-GB"/>
          </w:rPr>
          <w:t>Proposal 19</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w:t>
        </w:r>
        <w:r w:rsidRPr="00EB3CF7">
          <w:rPr>
            <w:rStyle w:val="Hyperlink"/>
            <w:noProof/>
            <w:lang w:val="en-GB"/>
          </w:rPr>
          <w:t xml:space="preserve"> </w:t>
        </w:r>
        <w:r w:rsidRPr="00EB3CF7">
          <w:rPr>
            <w:rStyle w:val="Hyperlink"/>
            <w:noProof/>
          </w:rPr>
          <w:t>A higher UL SCS puts tighter requirements on UE UL timing</w:t>
        </w:r>
        <w:r w:rsidRPr="00EB3CF7">
          <w:rPr>
            <w:rStyle w:val="Hyperlink"/>
            <w:noProof/>
            <w:lang w:val="en-GB"/>
          </w:rPr>
          <w:t xml:space="preserve"> and thus it is essential that the SCS selection and UE UL timing requirements are discussed jointly.</w:t>
        </w:r>
      </w:hyperlink>
    </w:p>
    <w:p w14:paraId="0F737CDA"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01" w:history="1">
        <w:r w:rsidRPr="00EB3CF7">
          <w:rPr>
            <w:rStyle w:val="Hyperlink"/>
            <w:noProof/>
          </w:rPr>
          <w:t>Proposal 20</w:t>
        </w:r>
        <w:r>
          <w:rPr>
            <w:rFonts w:asciiTheme="minorHAnsi" w:eastAsiaTheme="minorEastAsia" w:hAnsiTheme="minorHAnsi" w:cstheme="minorBidi"/>
            <w:b w:val="0"/>
            <w:noProof/>
            <w:sz w:val="22"/>
            <w:szCs w:val="22"/>
            <w:lang w:eastAsia="en-US"/>
          </w:rPr>
          <w:tab/>
        </w:r>
        <w:r w:rsidRPr="00EB3CF7">
          <w:rPr>
            <w:rStyle w:val="Hyperlink"/>
            <w:noProof/>
          </w:rPr>
          <w:t>UE processing timelines for SCS &gt; 120 kHz need to be further tightened vis-à-vis those for 120 kHz SCS to enable high performance NR operation in 52.6 to 71 GHz.</w:t>
        </w:r>
      </w:hyperlink>
    </w:p>
    <w:p w14:paraId="5C897DA0"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02" w:history="1">
        <w:r w:rsidRPr="00EB3CF7">
          <w:rPr>
            <w:rStyle w:val="Hyperlink"/>
            <w:noProof/>
          </w:rPr>
          <w:t>Proposal 21</w:t>
        </w:r>
        <w:r>
          <w:rPr>
            <w:rFonts w:asciiTheme="minorHAnsi" w:eastAsiaTheme="minorEastAsia" w:hAnsiTheme="minorHAnsi" w:cstheme="minorBidi"/>
            <w:b w:val="0"/>
            <w:noProof/>
            <w:sz w:val="22"/>
            <w:szCs w:val="22"/>
            <w:lang w:eastAsia="en-US"/>
          </w:rPr>
          <w:tab/>
        </w:r>
        <w:r w:rsidRPr="00EB3CF7">
          <w:rPr>
            <w:rStyle w:val="Hyperlink"/>
            <w:noProof/>
          </w:rPr>
          <w:t xml:space="preserve">Capture the following observation in TR 38.808: For selection of suitable SCS for the 52.6 – 71 GHz frequency range, the expected increases in processing latencies and decreases in processing capabilities associated with large SCS are important factors. To enable high performance NR operation in 52.6 to 71 GHz, UE processing timelines and capabilities for SCS &gt; 120 kHz need to be further tightened. Such issues put pressure to define SCS(s) as low as possible preferably leveraging existing SCS(s) in the current spec, i.e., </w:t>
        </w:r>
        <w:r w:rsidRPr="00EB3CF7">
          <w:rPr>
            <w:rStyle w:val="Hyperlink"/>
            <w:rFonts w:ascii="Cambria Math" w:hAnsi="Cambria Math"/>
            <w:noProof/>
          </w:rPr>
          <w:t>≤</w:t>
        </w:r>
        <w:r w:rsidRPr="00EB3CF7">
          <w:rPr>
            <w:rStyle w:val="Hyperlink"/>
            <w:noProof/>
          </w:rPr>
          <w:t>480 kHz.</w:t>
        </w:r>
      </w:hyperlink>
    </w:p>
    <w:p w14:paraId="21A55970"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03" w:history="1">
        <w:r w:rsidRPr="00EB3CF7">
          <w:rPr>
            <w:rStyle w:val="Hyperlink"/>
            <w:noProof/>
          </w:rPr>
          <w:t>Proposal 22</w:t>
        </w:r>
        <w:r>
          <w:rPr>
            <w:rFonts w:asciiTheme="minorHAnsi" w:eastAsiaTheme="minorEastAsia" w:hAnsiTheme="minorHAnsi" w:cstheme="minorBidi"/>
            <w:b w:val="0"/>
            <w:noProof/>
            <w:sz w:val="22"/>
            <w:szCs w:val="22"/>
            <w:lang w:eastAsia="en-US"/>
          </w:rPr>
          <w:tab/>
        </w:r>
        <w:r w:rsidRPr="00EB3CF7">
          <w:rPr>
            <w:rStyle w:val="Hyperlink"/>
            <w:noProof/>
          </w:rPr>
          <w:t xml:space="preserve">Add the </w:t>
        </w:r>
        <w:r w:rsidRPr="00EB3CF7">
          <w:rPr>
            <w:rStyle w:val="Hyperlink"/>
            <w:rFonts w:eastAsia="Batang"/>
            <w:noProof/>
            <w:spacing w:val="-6"/>
            <w:kern w:val="20"/>
            <w:lang w:eastAsia="en-US"/>
          </w:rPr>
          <w:t>following aspects to the list of processing timelines for new SCS (if agreed) that are not currently supported,</w:t>
        </w:r>
      </w:hyperlink>
    </w:p>
    <w:p w14:paraId="5F64F042"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04" w:history="1">
        <w:r w:rsidRPr="00EB3CF7">
          <w:rPr>
            <w:rStyle w:val="Hyperlink"/>
            <w:rFonts w:ascii="Symbol" w:hAnsi="Symbol"/>
            <w:noProof/>
          </w:rPr>
          <w:t></w:t>
        </w:r>
        <w:r>
          <w:rPr>
            <w:rFonts w:asciiTheme="minorHAnsi" w:eastAsiaTheme="minorEastAsia" w:hAnsiTheme="minorHAnsi" w:cstheme="minorBidi"/>
            <w:b w:val="0"/>
            <w:noProof/>
            <w:sz w:val="22"/>
            <w:szCs w:val="22"/>
            <w:lang w:eastAsia="en-US"/>
          </w:rPr>
          <w:tab/>
        </w:r>
        <w:r w:rsidRPr="00EB3CF7">
          <w:rPr>
            <w:rStyle w:val="Hyperlink"/>
            <w:noProof/>
          </w:rPr>
          <w:t>Processing capability for PUSCH scheduled by RAR UL grant</w:t>
        </w:r>
      </w:hyperlink>
    </w:p>
    <w:p w14:paraId="3E61F443"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05" w:history="1">
        <w:r w:rsidRPr="00EB3CF7">
          <w:rPr>
            <w:rStyle w:val="Hyperlink"/>
            <w:rFonts w:ascii="Symbol" w:hAnsi="Symbol"/>
            <w:noProof/>
          </w:rPr>
          <w:t></w:t>
        </w:r>
        <w:r>
          <w:rPr>
            <w:rFonts w:asciiTheme="minorHAnsi" w:eastAsiaTheme="minorEastAsia" w:hAnsiTheme="minorHAnsi" w:cstheme="minorBidi"/>
            <w:b w:val="0"/>
            <w:noProof/>
            <w:sz w:val="22"/>
            <w:szCs w:val="22"/>
            <w:lang w:eastAsia="en-US"/>
          </w:rPr>
          <w:tab/>
        </w:r>
        <w:r w:rsidRPr="00EB3CF7">
          <w:rPr>
            <w:rStyle w:val="Hyperlink"/>
            <w:noProof/>
          </w:rPr>
          <w:t>Dynamic SFI and SPS/CG cancellation timing</w:t>
        </w:r>
      </w:hyperlink>
    </w:p>
    <w:p w14:paraId="4EE4717A"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06" w:history="1">
        <w:r w:rsidRPr="00EB3CF7">
          <w:rPr>
            <w:rStyle w:val="Hyperlink"/>
            <w:rFonts w:ascii="Symbol" w:hAnsi="Symbol"/>
            <w:noProof/>
          </w:rPr>
          <w:t></w:t>
        </w:r>
        <w:r>
          <w:rPr>
            <w:rFonts w:asciiTheme="minorHAnsi" w:eastAsiaTheme="minorEastAsia" w:hAnsiTheme="minorHAnsi" w:cstheme="minorBidi"/>
            <w:b w:val="0"/>
            <w:noProof/>
            <w:sz w:val="22"/>
            <w:szCs w:val="22"/>
            <w:lang w:eastAsia="en-US"/>
          </w:rPr>
          <w:tab/>
        </w:r>
        <w:r w:rsidRPr="00EB3CF7">
          <w:rPr>
            <w:rStyle w:val="Hyperlink"/>
            <w:rFonts w:eastAsia="DengXian"/>
            <w:noProof/>
          </w:rPr>
          <w:t>Timeline for HARQ-ACK information in response to a SPS PDSCH release/</w:t>
        </w:r>
        <w:r w:rsidRPr="00EB3CF7">
          <w:rPr>
            <w:rStyle w:val="Hyperlink"/>
            <w:noProof/>
          </w:rPr>
          <w:t xml:space="preserve"> dormancy.</w:t>
        </w:r>
      </w:hyperlink>
    </w:p>
    <w:p w14:paraId="2CE22592"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07" w:history="1">
        <w:r w:rsidRPr="00EB3CF7">
          <w:rPr>
            <w:rStyle w:val="Hyperlink"/>
            <w:rFonts w:ascii="Symbol" w:hAnsi="Symbol"/>
            <w:noProof/>
          </w:rPr>
          <w:t></w:t>
        </w:r>
        <w:r>
          <w:rPr>
            <w:rFonts w:asciiTheme="minorHAnsi" w:eastAsiaTheme="minorEastAsia" w:hAnsiTheme="minorHAnsi" w:cstheme="minorBidi"/>
            <w:b w:val="0"/>
            <w:noProof/>
            <w:sz w:val="22"/>
            <w:szCs w:val="22"/>
            <w:lang w:eastAsia="en-US"/>
          </w:rPr>
          <w:tab/>
        </w:r>
        <w:r w:rsidRPr="00EB3CF7">
          <w:rPr>
            <w:rStyle w:val="Hyperlink"/>
            <w:noProof/>
          </w:rPr>
          <w:t>Minimum time gap for wake-up and SCell dormancy indication (DCI format 2_6)</w:t>
        </w:r>
      </w:hyperlink>
    </w:p>
    <w:p w14:paraId="7AC81A1E"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08" w:history="1">
        <w:r w:rsidRPr="00EB3CF7">
          <w:rPr>
            <w:rStyle w:val="Hyperlink"/>
            <w:rFonts w:ascii="Symbol" w:hAnsi="Symbol"/>
            <w:noProof/>
          </w:rPr>
          <w:t></w:t>
        </w:r>
        <w:r>
          <w:rPr>
            <w:rFonts w:asciiTheme="minorHAnsi" w:eastAsiaTheme="minorEastAsia" w:hAnsiTheme="minorHAnsi" w:cstheme="minorBidi"/>
            <w:b w:val="0"/>
            <w:noProof/>
            <w:sz w:val="22"/>
            <w:szCs w:val="22"/>
            <w:lang w:eastAsia="en-US"/>
          </w:rPr>
          <w:tab/>
        </w:r>
        <w:r w:rsidRPr="00EB3CF7">
          <w:rPr>
            <w:rStyle w:val="Hyperlink"/>
            <w:noProof/>
          </w:rPr>
          <w:t>BWP switch delay</w:t>
        </w:r>
      </w:hyperlink>
    </w:p>
    <w:p w14:paraId="699EE70F"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09" w:history="1">
        <w:r w:rsidRPr="00EB3CF7">
          <w:rPr>
            <w:rStyle w:val="Hyperlink"/>
            <w:rFonts w:ascii="Symbol" w:hAnsi="Symbol"/>
            <w:noProof/>
          </w:rPr>
          <w:t></w:t>
        </w:r>
        <w:r>
          <w:rPr>
            <w:rFonts w:asciiTheme="minorHAnsi" w:eastAsiaTheme="minorEastAsia" w:hAnsiTheme="minorHAnsi" w:cstheme="minorBidi"/>
            <w:b w:val="0"/>
            <w:noProof/>
            <w:sz w:val="22"/>
            <w:szCs w:val="22"/>
            <w:lang w:eastAsia="en-US"/>
          </w:rPr>
          <w:tab/>
        </w:r>
        <w:r w:rsidRPr="00EB3CF7">
          <w:rPr>
            <w:rStyle w:val="Hyperlink"/>
            <w:noProof/>
          </w:rPr>
          <w:t>Multi-beam operation timing (timeDurationForQCL, beamSwitchTiming, beam switch gap, etc.)</w:t>
        </w:r>
      </w:hyperlink>
    </w:p>
    <w:p w14:paraId="10131586"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10" w:history="1">
        <w:r w:rsidRPr="00EB3CF7">
          <w:rPr>
            <w:rStyle w:val="Hyperlink"/>
            <w:rFonts w:ascii="Symbol" w:hAnsi="Symbol"/>
            <w:noProof/>
          </w:rPr>
          <w:t></w:t>
        </w:r>
        <w:r>
          <w:rPr>
            <w:rFonts w:asciiTheme="minorHAnsi" w:eastAsiaTheme="minorEastAsia" w:hAnsiTheme="minorHAnsi" w:cstheme="minorBidi"/>
            <w:b w:val="0"/>
            <w:noProof/>
            <w:sz w:val="22"/>
            <w:szCs w:val="22"/>
            <w:lang w:eastAsia="en-US"/>
          </w:rPr>
          <w:tab/>
        </w:r>
        <w:r w:rsidRPr="00EB3CF7">
          <w:rPr>
            <w:rStyle w:val="Hyperlink"/>
            <w:noProof/>
          </w:rPr>
          <w:t>Timeline for multiplexing multiple UCI types</w:t>
        </w:r>
      </w:hyperlink>
    </w:p>
    <w:p w14:paraId="472D7ECF"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11" w:history="1">
        <w:r w:rsidRPr="00EB3CF7">
          <w:rPr>
            <w:rStyle w:val="Hyperlink"/>
            <w:noProof/>
          </w:rPr>
          <w:t>Proposal 23</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It is observed that from a UE complexity point of view it is beneficial to define the same SS/PBCH patterns for licensed and unlicensed operation.</w:t>
        </w:r>
      </w:hyperlink>
    </w:p>
    <w:p w14:paraId="3766AFD4"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12" w:history="1">
        <w:r w:rsidRPr="00EB3CF7">
          <w:rPr>
            <w:rStyle w:val="Hyperlink"/>
            <w:noProof/>
          </w:rPr>
          <w:t>Proposal 24</w:t>
        </w:r>
        <w:r>
          <w:rPr>
            <w:rFonts w:asciiTheme="minorHAnsi" w:eastAsiaTheme="minorEastAsia" w:hAnsiTheme="minorHAnsi" w:cstheme="minorBidi"/>
            <w:b w:val="0"/>
            <w:noProof/>
            <w:sz w:val="22"/>
            <w:szCs w:val="22"/>
            <w:lang w:eastAsia="en-US"/>
          </w:rPr>
          <w:tab/>
        </w:r>
        <w:r w:rsidRPr="00EB3CF7">
          <w:rPr>
            <w:rStyle w:val="Hyperlink"/>
            <w:noProof/>
          </w:rPr>
          <w:t>For NR operations in the 52.6 – 71 GHz band, consider only 120 and 240 kHz SCS for SS/PBCH blocks, as already supported in Rel-15/16.</w:t>
        </w:r>
      </w:hyperlink>
    </w:p>
    <w:p w14:paraId="79742FAE"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13" w:history="1">
        <w:r w:rsidRPr="00EB3CF7">
          <w:rPr>
            <w:rStyle w:val="Hyperlink"/>
            <w:noProof/>
          </w:rPr>
          <w:t>Proposal 25</w:t>
        </w:r>
        <w:r>
          <w:rPr>
            <w:rFonts w:asciiTheme="minorHAnsi" w:eastAsiaTheme="minorEastAsia" w:hAnsiTheme="minorHAnsi" w:cstheme="minorBidi"/>
            <w:b w:val="0"/>
            <w:noProof/>
            <w:sz w:val="22"/>
            <w:szCs w:val="22"/>
            <w:lang w:eastAsia="en-US"/>
          </w:rPr>
          <w:tab/>
        </w:r>
        <w:r w:rsidRPr="00EB3CF7">
          <w:rPr>
            <w:rStyle w:val="Hyperlink"/>
            <w:noProof/>
          </w:rPr>
          <w:t>Existing SS/PBCH time domain patterns D and E as specified in Rel-15/16 are proposed to be used also for operation in the 52.6 – 71 GHz band.</w:t>
        </w:r>
      </w:hyperlink>
    </w:p>
    <w:p w14:paraId="795613FA"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14" w:history="1">
        <w:r w:rsidRPr="00EB3CF7">
          <w:rPr>
            <w:rStyle w:val="Hyperlink"/>
            <w:noProof/>
          </w:rPr>
          <w:t>Proposal 26</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It is observed that with 120 and 240 kHz SCS for SS/PBCH block transmissions, the CP length is at least 293 ns which is sufficient for beam switching which typically requires &lt; 100 ns.</w:t>
        </w:r>
      </w:hyperlink>
    </w:p>
    <w:p w14:paraId="76496211"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15" w:history="1">
        <w:r w:rsidRPr="00EB3CF7">
          <w:rPr>
            <w:rStyle w:val="Hyperlink"/>
            <w:noProof/>
          </w:rPr>
          <w:t>Proposal 27</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SS/PBCH / CORESET0 multiplexing patterns 2 and 3 are restricted to very small RMSI payloads due to the small number (2) of available OFDM symbols for RMSI PDSCH.</w:t>
        </w:r>
      </w:hyperlink>
      <w:bookmarkStart w:id="751" w:name="_GoBack"/>
      <w:bookmarkEnd w:id="751"/>
    </w:p>
    <w:p w14:paraId="784416F1"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16" w:history="1">
        <w:r w:rsidRPr="00EB3CF7">
          <w:rPr>
            <w:rStyle w:val="Hyperlink"/>
            <w:noProof/>
          </w:rPr>
          <w:t>Proposal 28</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For the maximum number of beams (64), it is observed that SS/PBCH / CORESET0 multiplexing pattern 1 can carry larger payload than multiplexing patterns 2 and 3 due to the fact that SS/PBCH and RMSI PDCCH/PDSCH are time division multiplexed.</w:t>
        </w:r>
      </w:hyperlink>
    </w:p>
    <w:p w14:paraId="673103A0"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17" w:history="1">
        <w:r w:rsidRPr="00EB3CF7">
          <w:rPr>
            <w:rStyle w:val="Hyperlink"/>
            <w:noProof/>
          </w:rPr>
          <w:t>Proposal 29</w:t>
        </w:r>
        <w:r>
          <w:rPr>
            <w:rFonts w:asciiTheme="minorHAnsi" w:eastAsiaTheme="minorEastAsia" w:hAnsiTheme="minorHAnsi" w:cstheme="minorBidi"/>
            <w:b w:val="0"/>
            <w:noProof/>
            <w:sz w:val="22"/>
            <w:szCs w:val="22"/>
            <w:lang w:eastAsia="en-US"/>
          </w:rPr>
          <w:tab/>
        </w:r>
        <w:r w:rsidRPr="00EB3CF7">
          <w:rPr>
            <w:rStyle w:val="Hyperlink"/>
            <w:noProof/>
          </w:rPr>
          <w:t xml:space="preserve">Capture the following observation in TR 38.808: Existing Rel-15/16 framework for initial access including SS/PBCH-CORESET0 multiplexing patterns, multiplexing of </w:t>
        </w:r>
        <w:r w:rsidRPr="00EB3CF7">
          <w:rPr>
            <w:rStyle w:val="Hyperlink"/>
            <w:noProof/>
          </w:rPr>
          <w:lastRenderedPageBreak/>
          <w:t>SS/PBCH and other signals/channels, and Type0-PDCCH CSS configurations have significant flexibility to cover a large number of deployment scenarios in the 52.6 – 71 GHz band.</w:t>
        </w:r>
      </w:hyperlink>
    </w:p>
    <w:p w14:paraId="5E64F680"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18" w:history="1">
        <w:r w:rsidRPr="00EB3CF7">
          <w:rPr>
            <w:rStyle w:val="Hyperlink"/>
            <w:noProof/>
          </w:rPr>
          <w:t>Proposal 30</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The distribution of interference + noise in the 52.6 – 71 GHz band is typically well below the LBT threshold of -47 dBm, and thus deferral due to LBT failure is rare. Hence, it is not beneficial to introduce a transmission window for SS/PBCH + RMSI transmissions.</w:t>
        </w:r>
      </w:hyperlink>
    </w:p>
    <w:p w14:paraId="6251837C"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19" w:history="1">
        <w:r w:rsidRPr="00EB3CF7">
          <w:rPr>
            <w:rStyle w:val="Hyperlink"/>
            <w:noProof/>
          </w:rPr>
          <w:t>Proposal 31</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It is beneficial for SSB coverage to reuse the FR2 already supported subcarrier spacings of 120kHz and 240kHz.</w:t>
        </w:r>
      </w:hyperlink>
    </w:p>
    <w:p w14:paraId="6C2E16F8"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20" w:history="1">
        <w:r w:rsidRPr="00EB3CF7">
          <w:rPr>
            <w:rStyle w:val="Hyperlink"/>
            <w:noProof/>
          </w:rPr>
          <w:t>Proposal 32</w:t>
        </w:r>
        <w:r>
          <w:rPr>
            <w:rFonts w:asciiTheme="minorHAnsi" w:eastAsiaTheme="minorEastAsia" w:hAnsiTheme="minorHAnsi" w:cstheme="minorBidi"/>
            <w:b w:val="0"/>
            <w:noProof/>
            <w:sz w:val="22"/>
            <w:szCs w:val="22"/>
            <w:lang w:eastAsia="en-US"/>
          </w:rPr>
          <w:tab/>
        </w:r>
        <w:r w:rsidRPr="00EB3CF7">
          <w:rPr>
            <w:rStyle w:val="Hyperlink"/>
            <w:noProof/>
          </w:rPr>
          <w:t>Only support existing FR2 SSB subcarrier spacings of 120 kHz and 240 kHz.</w:t>
        </w:r>
      </w:hyperlink>
    </w:p>
    <w:p w14:paraId="3F3409A7"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21" w:history="1">
        <w:r w:rsidRPr="00EB3CF7">
          <w:rPr>
            <w:rStyle w:val="Hyperlink"/>
            <w:noProof/>
          </w:rPr>
          <w:t>Proposal 33</w:t>
        </w:r>
        <w:r>
          <w:rPr>
            <w:rFonts w:asciiTheme="minorHAnsi" w:eastAsiaTheme="minorEastAsia" w:hAnsiTheme="minorHAnsi" w:cstheme="minorBidi"/>
            <w:b w:val="0"/>
            <w:noProof/>
            <w:sz w:val="22"/>
            <w:szCs w:val="22"/>
            <w:lang w:eastAsia="en-US"/>
          </w:rPr>
          <w:tab/>
        </w:r>
        <w:r w:rsidRPr="00EB3CF7">
          <w:rPr>
            <w:rStyle w:val="Hyperlink"/>
            <w:noProof/>
          </w:rPr>
          <w:t xml:space="preserve">Include the following Observation in TR 38.808. Maximum isotropic loss (MIL) and maximum coupling loss (MCL) degrade as the subcarrier spacing is increased, negatively impacting coverage. PRACH 120 kHz SCS is defined for FR2 already in Rel-15 and for the 52.6–71 GHz range yields </w:t>
        </w:r>
        <w:r w:rsidRPr="00EB3CF7">
          <w:rPr>
            <w:rStyle w:val="Hyperlink"/>
            <w:rFonts w:cs="Arial"/>
            <w:noProof/>
            <w:lang w:val="en-GB"/>
          </w:rPr>
          <w:t>4–5 dB</w:t>
        </w:r>
        <w:r w:rsidRPr="00EB3CF7">
          <w:rPr>
            <w:rStyle w:val="Hyperlink"/>
            <w:noProof/>
          </w:rPr>
          <w:t xml:space="preserve"> better coverage than 480 kHz SCS and 8–9 dB better coverage than 960 kHz SCS.</w:t>
        </w:r>
      </w:hyperlink>
    </w:p>
    <w:p w14:paraId="4A631253"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22" w:history="1">
        <w:r w:rsidRPr="00EB3CF7">
          <w:rPr>
            <w:rStyle w:val="Hyperlink"/>
            <w:noProof/>
          </w:rPr>
          <w:t>Proposal 34</w:t>
        </w:r>
        <w:r>
          <w:rPr>
            <w:rFonts w:asciiTheme="minorHAnsi" w:eastAsiaTheme="minorEastAsia" w:hAnsiTheme="minorHAnsi" w:cstheme="minorBidi"/>
            <w:b w:val="0"/>
            <w:noProof/>
            <w:sz w:val="22"/>
            <w:szCs w:val="22"/>
            <w:lang w:eastAsia="en-US"/>
          </w:rPr>
          <w:tab/>
        </w:r>
        <w:r w:rsidRPr="00EB3CF7">
          <w:rPr>
            <w:rStyle w:val="Hyperlink"/>
            <w:noProof/>
          </w:rPr>
          <w:t>Reuse existing FR2 PRACH subcarrier spacing of 120 kHz for 52.6–71 GHz.</w:t>
        </w:r>
      </w:hyperlink>
    </w:p>
    <w:p w14:paraId="55C2DF01"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23" w:history="1">
        <w:r w:rsidRPr="00EB3CF7">
          <w:rPr>
            <w:rStyle w:val="Hyperlink"/>
            <w:noProof/>
          </w:rPr>
          <w:t>Proposal 35</w:t>
        </w:r>
        <w:r>
          <w:rPr>
            <w:rFonts w:asciiTheme="minorHAnsi" w:eastAsiaTheme="minorEastAsia" w:hAnsiTheme="minorHAnsi" w:cstheme="minorBidi"/>
            <w:b w:val="0"/>
            <w:noProof/>
            <w:sz w:val="22"/>
            <w:szCs w:val="22"/>
            <w:lang w:eastAsia="en-US"/>
          </w:rPr>
          <w:tab/>
        </w:r>
        <w:r w:rsidRPr="00EB3CF7">
          <w:rPr>
            <w:rStyle w:val="Hyperlink"/>
            <w:noProof/>
          </w:rPr>
          <w:t>Include the following observation in TR 38.808: For operation in the 52.6 – 71 GHz band, it is beneficial to support all existing Rel-15/16 sequence lengths L = 139/571/1151 to allow for larger transmit powers in some scenarios depending on the assumed beamforming gain, regulatory regime, and UE power limits.</w:t>
        </w:r>
      </w:hyperlink>
    </w:p>
    <w:p w14:paraId="2FF215F0"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24" w:history="1">
        <w:r w:rsidRPr="00EB3CF7">
          <w:rPr>
            <w:rStyle w:val="Hyperlink"/>
            <w:noProof/>
          </w:rPr>
          <w:t>Proposal 36</w:t>
        </w:r>
        <w:r>
          <w:rPr>
            <w:rFonts w:asciiTheme="minorHAnsi" w:eastAsiaTheme="minorEastAsia" w:hAnsiTheme="minorHAnsi" w:cstheme="minorBidi"/>
            <w:b w:val="0"/>
            <w:noProof/>
            <w:sz w:val="22"/>
            <w:szCs w:val="22"/>
            <w:lang w:eastAsia="en-US"/>
          </w:rPr>
          <w:tab/>
        </w:r>
        <w:r w:rsidRPr="00EB3CF7">
          <w:rPr>
            <w:rStyle w:val="Hyperlink"/>
            <w:noProof/>
          </w:rPr>
          <w:t xml:space="preserve">Support </w:t>
        </w:r>
        <w:r w:rsidRPr="00EB3CF7">
          <w:rPr>
            <w:rStyle w:val="Hyperlink"/>
            <w:iCs/>
            <w:noProof/>
          </w:rPr>
          <w:t xml:space="preserve">PRACH with sequence lengths </w:t>
        </w:r>
        <w:r w:rsidRPr="00EB3CF7">
          <w:rPr>
            <w:rStyle w:val="Hyperlink"/>
            <w:i/>
            <w:iCs/>
            <w:noProof/>
          </w:rPr>
          <w:t>L</w:t>
        </w:r>
        <w:r w:rsidRPr="00EB3CF7">
          <w:rPr>
            <w:rStyle w:val="Hyperlink"/>
            <w:noProof/>
          </w:rPr>
          <w:t xml:space="preserve"> = 139/571/1151 (as defined for FR2 in Rel-15/16) for 52.6–71 GHz.</w:t>
        </w:r>
      </w:hyperlink>
    </w:p>
    <w:p w14:paraId="7540533A"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25" w:history="1">
        <w:r w:rsidRPr="00EB3CF7">
          <w:rPr>
            <w:rStyle w:val="Hyperlink"/>
            <w:noProof/>
          </w:rPr>
          <w:t>Proposal 37</w:t>
        </w:r>
        <w:r>
          <w:rPr>
            <w:rFonts w:asciiTheme="minorHAnsi" w:eastAsiaTheme="minorEastAsia" w:hAnsiTheme="minorHAnsi" w:cstheme="minorBidi"/>
            <w:b w:val="0"/>
            <w:noProof/>
            <w:sz w:val="22"/>
            <w:szCs w:val="22"/>
            <w:lang w:eastAsia="en-US"/>
          </w:rPr>
          <w:tab/>
        </w:r>
        <w:r w:rsidRPr="00EB3CF7">
          <w:rPr>
            <w:rStyle w:val="Hyperlink"/>
            <w:noProof/>
          </w:rPr>
          <w:t>Reuse FR2 PRACH configuration tables for 52.6–71 GHz.</w:t>
        </w:r>
      </w:hyperlink>
    </w:p>
    <w:p w14:paraId="3FC5DD5E"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26" w:history="1">
        <w:r w:rsidRPr="00EB3CF7">
          <w:rPr>
            <w:rStyle w:val="Hyperlink"/>
            <w:noProof/>
          </w:rPr>
          <w:t>Proposal 38</w:t>
        </w:r>
        <w:r>
          <w:rPr>
            <w:rFonts w:asciiTheme="minorHAnsi" w:eastAsiaTheme="minorEastAsia" w:hAnsiTheme="minorHAnsi" w:cstheme="minorBidi"/>
            <w:b w:val="0"/>
            <w:noProof/>
            <w:sz w:val="22"/>
            <w:szCs w:val="22"/>
            <w:lang w:eastAsia="en-US"/>
          </w:rPr>
          <w:tab/>
        </w:r>
        <w:r w:rsidRPr="00EB3CF7">
          <w:rPr>
            <w:rStyle w:val="Hyperlink"/>
            <w:noProof/>
          </w:rPr>
          <w:t>Include the following observation in TR 38.808. It is not beneficial to optimize RACH configurations to enable LBT gaps between back-to-back PRACH occasions in the same slot for operation in the 52.6 – 71 GHz band.</w:t>
        </w:r>
      </w:hyperlink>
    </w:p>
    <w:p w14:paraId="24CA3E62"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27" w:history="1">
        <w:r w:rsidRPr="00EB3CF7">
          <w:rPr>
            <w:rStyle w:val="Hyperlink"/>
            <w:noProof/>
          </w:rPr>
          <w:t>Proposal 39</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Clustered PT-RS structure can frequently collide with existing NR reference symbols (such as CSI-RS and TRS) with no simple avoidance solution</w:t>
        </w:r>
        <w:r w:rsidRPr="00EB3CF7">
          <w:rPr>
            <w:rStyle w:val="Hyperlink"/>
            <w:noProof/>
            <w:lang w:val="en-GB"/>
          </w:rPr>
          <w:t>.</w:t>
        </w:r>
      </w:hyperlink>
    </w:p>
    <w:p w14:paraId="7DC80A44"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28" w:history="1">
        <w:r w:rsidRPr="00EB3CF7">
          <w:rPr>
            <w:rStyle w:val="Hyperlink"/>
            <w:noProof/>
          </w:rPr>
          <w:t>Proposal 40</w:t>
        </w:r>
        <w:r>
          <w:rPr>
            <w:rFonts w:asciiTheme="minorHAnsi" w:eastAsiaTheme="minorEastAsia" w:hAnsiTheme="minorHAnsi" w:cstheme="minorBidi"/>
            <w:b w:val="0"/>
            <w:noProof/>
            <w:sz w:val="22"/>
            <w:szCs w:val="22"/>
            <w:lang w:eastAsia="en-US"/>
          </w:rPr>
          <w:tab/>
        </w:r>
        <w:r w:rsidRPr="00EB3CF7">
          <w:rPr>
            <w:rStyle w:val="Hyperlink"/>
            <w:noProof/>
          </w:rPr>
          <w:t xml:space="preserve">Capture the following observation in TR 38.808: </w:t>
        </w:r>
        <w:r w:rsidRPr="00EB3CF7">
          <w:rPr>
            <w:rStyle w:val="Hyperlink"/>
            <w:noProof/>
            <w:lang w:val="en-GB"/>
          </w:rPr>
          <w:t>A clustered PT-RS structure does not offer any performance advantage over the existing Rel-15 NR distributed PT-RS structure.</w:t>
        </w:r>
      </w:hyperlink>
    </w:p>
    <w:p w14:paraId="7E3EDCA5"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29" w:history="1">
        <w:r w:rsidRPr="00EB3CF7">
          <w:rPr>
            <w:rStyle w:val="Hyperlink"/>
            <w:noProof/>
          </w:rPr>
          <w:t>Proposal 41</w:t>
        </w:r>
        <w:r>
          <w:rPr>
            <w:rFonts w:asciiTheme="minorHAnsi" w:eastAsiaTheme="minorEastAsia" w:hAnsiTheme="minorHAnsi" w:cstheme="minorBidi"/>
            <w:b w:val="0"/>
            <w:noProof/>
            <w:sz w:val="22"/>
            <w:szCs w:val="22"/>
            <w:lang w:eastAsia="en-US"/>
          </w:rPr>
          <w:tab/>
        </w:r>
        <w:r w:rsidRPr="00EB3CF7">
          <w:rPr>
            <w:rStyle w:val="Hyperlink"/>
            <w:noProof/>
          </w:rPr>
          <w:t>Retain the same Rel-15 distributed PT-RS structure for OFDM for NR operation in 52.6 to 71 GHz.</w:t>
        </w:r>
      </w:hyperlink>
    </w:p>
    <w:p w14:paraId="4CA38F37"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30" w:history="1">
        <w:r w:rsidRPr="00EB3CF7">
          <w:rPr>
            <w:rStyle w:val="Hyperlink"/>
            <w:noProof/>
          </w:rPr>
          <w:t>Proposal 42</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For 480 kHz SCS and below with large delay spread, the room for performance improvement with a change to the Rel-15 DMRS design is very limited.</w:t>
        </w:r>
      </w:hyperlink>
    </w:p>
    <w:p w14:paraId="39BA12C3"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31" w:history="1">
        <w:r w:rsidRPr="00EB3CF7">
          <w:rPr>
            <w:rStyle w:val="Hyperlink"/>
            <w:noProof/>
          </w:rPr>
          <w:t>Proposal 43</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Neither PRB or sub-PRB interlacing is beneficial for the expected large frequency resource allocations applicable for NR operation in 52.6 – 71 GHz spectrum. The support of UL interlace allocation is not considered for NR operation in 52.6 – 71 GHz.</w:t>
        </w:r>
      </w:hyperlink>
    </w:p>
    <w:p w14:paraId="326E9E41"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32" w:history="1">
        <w:r w:rsidRPr="00EB3CF7">
          <w:rPr>
            <w:rStyle w:val="Hyperlink"/>
            <w:noProof/>
          </w:rPr>
          <w:t>Proposal 44</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it is beneficial to enhance PUCCH format 0 and 1 to span multiple RBs to allow larger transmit power.</w:t>
        </w:r>
      </w:hyperlink>
    </w:p>
    <w:p w14:paraId="58B9EE2A"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33" w:history="1">
        <w:r w:rsidRPr="00EB3CF7">
          <w:rPr>
            <w:rStyle w:val="Hyperlink"/>
            <w:noProof/>
          </w:rPr>
          <w:t>Proposal 45</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For operation in 52.6 – 71 GHz it is beneficial to support scheduling multiple PDSCH using one DCI by extending the multi-PUSCH scheduling feature introduced in Rel-16 to the scheduling of multiple PDSCH using one DCI in Rel-17</w:t>
        </w:r>
      </w:hyperlink>
    </w:p>
    <w:p w14:paraId="6FF2B731"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34" w:history="1">
        <w:r w:rsidRPr="00EB3CF7">
          <w:rPr>
            <w:rStyle w:val="Hyperlink"/>
            <w:noProof/>
          </w:rPr>
          <w:t>Proposal 46</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For operation in 52.6 – 71 GHz, it is beneficial to support UE PDCCH processing capabilities per multi-slot monitoring period that scale with the size of the monitoring period when the UE is configured with a monitoring period larger than a slot.</w:t>
        </w:r>
      </w:hyperlink>
    </w:p>
    <w:p w14:paraId="4D6ACF42"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35" w:history="1">
        <w:r w:rsidRPr="00EB3CF7">
          <w:rPr>
            <w:rStyle w:val="Hyperlink"/>
            <w:noProof/>
          </w:rPr>
          <w:t>Proposal 47</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For operation in 52.6 – 71 GHz, it is beneficial to reduce the FDRA fields size by supporting larger RBG sizes.</w:t>
        </w:r>
      </w:hyperlink>
    </w:p>
    <w:p w14:paraId="159DE594"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36" w:history="1">
        <w:r w:rsidRPr="00EB3CF7">
          <w:rPr>
            <w:rStyle w:val="Hyperlink"/>
            <w:noProof/>
          </w:rPr>
          <w:t>Proposal 48</w:t>
        </w:r>
        <w:r>
          <w:rPr>
            <w:rFonts w:asciiTheme="minorHAnsi" w:eastAsiaTheme="minorEastAsia" w:hAnsiTheme="minorHAnsi" w:cstheme="minorBidi"/>
            <w:b w:val="0"/>
            <w:noProof/>
            <w:sz w:val="22"/>
            <w:szCs w:val="22"/>
            <w:lang w:eastAsia="en-US"/>
          </w:rPr>
          <w:tab/>
        </w:r>
        <w:r w:rsidRPr="00EB3CF7">
          <w:rPr>
            <w:rStyle w:val="Hyperlink"/>
            <w:noProof/>
          </w:rPr>
          <w:t>RAN1 should investigate the different factors that contribute to the PDSCH processing time and consider possible latency reduction opportunities.</w:t>
        </w:r>
      </w:hyperlink>
    </w:p>
    <w:p w14:paraId="657D26FF"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37" w:history="1">
        <w:r w:rsidRPr="00EB3CF7">
          <w:rPr>
            <w:rStyle w:val="Hyperlink"/>
            <w:noProof/>
          </w:rPr>
          <w:t>Proposal 49</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For operation in the 52.6 – 71 GHz band, consider enhancements to SR (PUCCH) resource configuration and spatial relation management to reduce UL data latency</w:t>
        </w:r>
      </w:hyperlink>
    </w:p>
    <w:p w14:paraId="0D4DE260"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38" w:history="1">
        <w:r w:rsidRPr="00EB3CF7">
          <w:rPr>
            <w:rStyle w:val="Hyperlink"/>
            <w:noProof/>
          </w:rPr>
          <w:t>Proposal 50</w:t>
        </w:r>
        <w:r>
          <w:rPr>
            <w:rFonts w:asciiTheme="minorHAnsi" w:eastAsiaTheme="minorEastAsia" w:hAnsiTheme="minorHAnsi" w:cstheme="minorBidi"/>
            <w:b w:val="0"/>
            <w:noProof/>
            <w:sz w:val="22"/>
            <w:szCs w:val="22"/>
            <w:lang w:eastAsia="en-US"/>
          </w:rPr>
          <w:tab/>
        </w:r>
        <w:r w:rsidRPr="00EB3CF7">
          <w:rPr>
            <w:rStyle w:val="Hyperlink"/>
            <w:noProof/>
          </w:rPr>
          <w:t>Capture the following observation in TR 38.808: For operation in the 52.6 – 71 GHz band, consider gNB initiated polling approach for UL traffic management to reduce UL data latency.</w:t>
        </w:r>
      </w:hyperlink>
    </w:p>
    <w:p w14:paraId="7FF23943"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39" w:history="1">
        <w:r w:rsidRPr="00EB3CF7">
          <w:rPr>
            <w:rStyle w:val="Hyperlink"/>
            <w:noProof/>
          </w:rPr>
          <w:t>Proposal 51</w:t>
        </w:r>
        <w:r>
          <w:rPr>
            <w:rFonts w:asciiTheme="minorHAnsi" w:eastAsiaTheme="minorEastAsia" w:hAnsiTheme="minorHAnsi" w:cstheme="minorBidi"/>
            <w:b w:val="0"/>
            <w:noProof/>
            <w:sz w:val="22"/>
            <w:szCs w:val="22"/>
            <w:lang w:eastAsia="en-US"/>
          </w:rPr>
          <w:tab/>
        </w:r>
        <w:r w:rsidRPr="00EB3CF7">
          <w:rPr>
            <w:rStyle w:val="Hyperlink"/>
            <w:noProof/>
          </w:rPr>
          <w:t>Capture the following text in TR 38.808: For operation in the 52.6 – 71 GHz band, due to the large number of beams expected to be used, it is beneficial to enhance triggering of aperiodic CSI-RS and SRS resources to support flexible multi-slot triggering with a single DCI.</w:t>
        </w:r>
      </w:hyperlink>
    </w:p>
    <w:p w14:paraId="0A8BCEFB"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40" w:history="1">
        <w:r w:rsidRPr="00EB3CF7">
          <w:rPr>
            <w:rStyle w:val="Hyperlink"/>
            <w:noProof/>
          </w:rPr>
          <w:t>Proposal 52</w:t>
        </w:r>
        <w:r>
          <w:rPr>
            <w:rFonts w:asciiTheme="minorHAnsi" w:eastAsiaTheme="minorEastAsia" w:hAnsiTheme="minorHAnsi" w:cstheme="minorBidi"/>
            <w:b w:val="0"/>
            <w:noProof/>
            <w:sz w:val="22"/>
            <w:szCs w:val="22"/>
            <w:lang w:eastAsia="en-US"/>
          </w:rPr>
          <w:tab/>
        </w:r>
        <w:r w:rsidRPr="00EB3CF7">
          <w:rPr>
            <w:rStyle w:val="Hyperlink"/>
            <w:noProof/>
          </w:rPr>
          <w:t>Capture the following text in TR 38.808: For operation in the 52.6 – 71 GHz band, Rel-15/16 already supports functionality to configure gaps between CSI-RS and SRS resources for beam management. Furthermore, for SCS &lt;= 480 kHz, the CP duration is sufficient for beam switching which typically requires &lt; 100 ns.</w:t>
        </w:r>
      </w:hyperlink>
    </w:p>
    <w:p w14:paraId="30902E9A" w14:textId="77777777" w:rsidR="004201BE" w:rsidRDefault="004201BE">
      <w:pPr>
        <w:pStyle w:val="TableofFigures"/>
        <w:tabs>
          <w:tab w:val="right" w:leader="dot" w:pos="9629"/>
        </w:tabs>
        <w:rPr>
          <w:rFonts w:asciiTheme="minorHAnsi" w:eastAsiaTheme="minorEastAsia" w:hAnsiTheme="minorHAnsi" w:cstheme="minorBidi"/>
          <w:b w:val="0"/>
          <w:noProof/>
          <w:sz w:val="22"/>
          <w:szCs w:val="22"/>
          <w:lang w:eastAsia="en-US"/>
        </w:rPr>
      </w:pPr>
      <w:hyperlink w:anchor="_Toc53776241" w:history="1">
        <w:r w:rsidRPr="00EB3CF7">
          <w:rPr>
            <w:rStyle w:val="Hyperlink"/>
            <w:noProof/>
          </w:rPr>
          <w:t>Proposal 53</w:t>
        </w:r>
        <w:r>
          <w:rPr>
            <w:rFonts w:asciiTheme="minorHAnsi" w:eastAsiaTheme="minorEastAsia" w:hAnsiTheme="minorHAnsi" w:cstheme="minorBidi"/>
            <w:b w:val="0"/>
            <w:noProof/>
            <w:sz w:val="22"/>
            <w:szCs w:val="22"/>
            <w:lang w:eastAsia="en-US"/>
          </w:rPr>
          <w:tab/>
        </w:r>
        <w:r w:rsidRPr="00EB3CF7">
          <w:rPr>
            <w:rStyle w:val="Hyperlink"/>
            <w:noProof/>
          </w:rPr>
          <w:t>Do not further discuss Rank-2 transmission for DFT-s-OFDM in the 52.6 – 71 GHz SI/WI. This should be addressed under a MIMO SI/WI.</w:t>
        </w:r>
      </w:hyperlink>
    </w:p>
    <w:p w14:paraId="6F3910C6" w14:textId="2658A55C" w:rsidR="00952281" w:rsidRDefault="00A47FE3" w:rsidP="008A2C71">
      <w:pPr>
        <w:pStyle w:val="BodyText"/>
      </w:pPr>
      <w:r>
        <w:rPr>
          <w:b/>
          <w:bCs/>
        </w:rPr>
        <w:fldChar w:fldCharType="end"/>
      </w:r>
    </w:p>
    <w:p w14:paraId="0832381A" w14:textId="426C06FF" w:rsidR="008A2C71" w:rsidRPr="00CE0424" w:rsidRDefault="00C31E07" w:rsidP="008A2C71">
      <w:pPr>
        <w:pStyle w:val="Heading1"/>
      </w:pPr>
      <w:bookmarkStart w:id="752" w:name="_In-sequence_SDU_delivery"/>
      <w:bookmarkStart w:id="753" w:name="_Toc46307407"/>
      <w:bookmarkStart w:id="754" w:name="_Toc47530185"/>
      <w:bookmarkStart w:id="755" w:name="_Toc53775917"/>
      <w:bookmarkEnd w:id="752"/>
      <w:r>
        <w:t>6</w:t>
      </w:r>
      <w:r>
        <w:tab/>
      </w:r>
      <w:r w:rsidR="008A2C71" w:rsidRPr="00CE0424">
        <w:t>References</w:t>
      </w:r>
      <w:bookmarkEnd w:id="753"/>
      <w:bookmarkEnd w:id="754"/>
      <w:bookmarkEnd w:id="755"/>
    </w:p>
    <w:p w14:paraId="2F65783D" w14:textId="77777777" w:rsidR="008A2C71" w:rsidRPr="00EA0A41" w:rsidRDefault="008A2C71" w:rsidP="008A2C71">
      <w:pPr>
        <w:pStyle w:val="Reference"/>
      </w:pPr>
      <w:bookmarkStart w:id="756" w:name="_Ref37858016"/>
      <w:bookmarkStart w:id="757" w:name="_Ref37859208"/>
      <w:bookmarkStart w:id="758" w:name="_Ref174151459"/>
      <w:bookmarkStart w:id="759" w:name="_Ref189809556"/>
      <w:r w:rsidRPr="00EA0A41">
        <w:t>RP-193259, New SID: Study on supporting NR from 52.6GHz to 71 GHz</w:t>
      </w:r>
      <w:bookmarkEnd w:id="756"/>
      <w:bookmarkEnd w:id="757"/>
    </w:p>
    <w:p w14:paraId="62C28729" w14:textId="2C2E0A33" w:rsidR="008A2C71" w:rsidRDefault="008A2C71" w:rsidP="008A2C71">
      <w:pPr>
        <w:pStyle w:val="Reference"/>
      </w:pPr>
      <w:bookmarkStart w:id="760" w:name="_Ref37858025"/>
      <w:r w:rsidRPr="00EA0A41">
        <w:t>RP-193229, New WID on Extending current NR operation to 71 GHz</w:t>
      </w:r>
      <w:bookmarkEnd w:id="760"/>
    </w:p>
    <w:p w14:paraId="7D4A1BDE" w14:textId="46D967BA" w:rsidR="00FA5D06" w:rsidRDefault="00FA5D06" w:rsidP="008A2C71">
      <w:pPr>
        <w:pStyle w:val="Reference"/>
      </w:pPr>
      <w:bookmarkStart w:id="761" w:name="_Ref53058099"/>
      <w:r>
        <w:t>3GPP TR 38.807, "</w:t>
      </w:r>
      <w:r w:rsidRPr="00FA5D06">
        <w:t>Study on requirements for NR beyond 52.6 GHz</w:t>
      </w:r>
      <w:r>
        <w:t>," v16.0.0, December 2019.</w:t>
      </w:r>
      <w:bookmarkEnd w:id="761"/>
    </w:p>
    <w:p w14:paraId="4468FD2E" w14:textId="16DEE256" w:rsidR="005152A9" w:rsidRDefault="005152A9" w:rsidP="008A2C71">
      <w:pPr>
        <w:pStyle w:val="Reference"/>
      </w:pPr>
      <w:bookmarkStart w:id="762" w:name="_Ref46231781"/>
      <w:bookmarkStart w:id="763" w:name="_Ref46490548"/>
      <w:bookmarkStart w:id="764" w:name="_Ref52864098"/>
      <w:r w:rsidRPr="004F69A1">
        <w:t>R1-</w:t>
      </w:r>
      <w:r w:rsidR="00F36943" w:rsidRPr="004F69A1">
        <w:t>20</w:t>
      </w:r>
      <w:r w:rsidR="00F36943">
        <w:t>07983</w:t>
      </w:r>
      <w:r>
        <w:t xml:space="preserve">, </w:t>
      </w:r>
      <w:r w:rsidR="0087229E">
        <w:t>"</w:t>
      </w:r>
      <w:r w:rsidR="00F96238">
        <w:t>Channel access mechanism</w:t>
      </w:r>
      <w:bookmarkEnd w:id="762"/>
      <w:r w:rsidR="00413500">
        <w:t>,</w:t>
      </w:r>
      <w:r w:rsidR="0087229E">
        <w:t>"</w:t>
      </w:r>
      <w:r w:rsidR="00413500">
        <w:t xml:space="preserve"> Ericsson</w:t>
      </w:r>
      <w:bookmarkEnd w:id="763"/>
      <w:r w:rsidR="0087229E">
        <w:t>, RAN1#103-e, October 2020.</w:t>
      </w:r>
      <w:bookmarkEnd w:id="764"/>
    </w:p>
    <w:p w14:paraId="65F5BCD0" w14:textId="0B7E8BBD" w:rsidR="008C378A" w:rsidRDefault="008C378A" w:rsidP="008A2C71">
      <w:pPr>
        <w:pStyle w:val="Reference"/>
      </w:pPr>
      <w:bookmarkStart w:id="765" w:name="_Ref46234418"/>
      <w:r w:rsidRPr="008C378A">
        <w:t>R1-200</w:t>
      </w:r>
      <w:r w:rsidR="00B81D59">
        <w:t>4247</w:t>
      </w:r>
      <w:r>
        <w:t xml:space="preserve">, </w:t>
      </w:r>
      <w:r w:rsidR="00C65099">
        <w:t>"</w:t>
      </w:r>
      <w:r w:rsidR="00413500" w:rsidRPr="00413500">
        <w:t>On Required changes to NR using existing DL/UL NR Waveform</w:t>
      </w:r>
      <w:r w:rsidR="00413500">
        <w:t>,</w:t>
      </w:r>
      <w:r w:rsidR="00C65099">
        <w:t>"</w:t>
      </w:r>
      <w:r w:rsidR="00413500">
        <w:t xml:space="preserve"> Apple</w:t>
      </w:r>
      <w:bookmarkEnd w:id="765"/>
      <w:r w:rsidR="00C65099">
        <w:t>, RAN1#10</w:t>
      </w:r>
      <w:r w:rsidR="00B81D59">
        <w:t>1</w:t>
      </w:r>
      <w:r w:rsidR="00C65099">
        <w:t xml:space="preserve">-e, </w:t>
      </w:r>
      <w:r w:rsidR="00B81D59">
        <w:t>May</w:t>
      </w:r>
      <w:r w:rsidR="00C65099">
        <w:t xml:space="preserve"> 2020.</w:t>
      </w:r>
    </w:p>
    <w:p w14:paraId="5786C931" w14:textId="4E754574" w:rsidR="009004A0" w:rsidRDefault="006F7884" w:rsidP="007D6819">
      <w:pPr>
        <w:pStyle w:val="Reference"/>
      </w:pPr>
      <w:bookmarkStart w:id="766" w:name="_Ref47085970"/>
      <w:r>
        <w:t>D</w:t>
      </w:r>
      <w:r w:rsidR="003A3CF5">
        <w:t>.</w:t>
      </w:r>
      <w:r>
        <w:t xml:space="preserve"> </w:t>
      </w:r>
      <w:proofErr w:type="spellStart"/>
      <w:r w:rsidR="0094575D" w:rsidRPr="0094575D">
        <w:t>Petrovic</w:t>
      </w:r>
      <w:proofErr w:type="spellEnd"/>
      <w:r w:rsidR="0094575D" w:rsidRPr="0094575D">
        <w:t xml:space="preserve">, </w:t>
      </w:r>
      <w:r w:rsidR="0094575D">
        <w:t>W</w:t>
      </w:r>
      <w:r w:rsidR="003A3CF5">
        <w:t>.</w:t>
      </w:r>
      <w:r w:rsidR="0094575D">
        <w:t xml:space="preserve"> Rave</w:t>
      </w:r>
      <w:r w:rsidR="003A3CF5">
        <w:t xml:space="preserve"> and</w:t>
      </w:r>
      <w:r w:rsidR="0094575D">
        <w:t xml:space="preserve"> G. </w:t>
      </w:r>
      <w:proofErr w:type="spellStart"/>
      <w:r w:rsidR="0094575D">
        <w:t>Fett</w:t>
      </w:r>
      <w:r w:rsidR="003A3CF5">
        <w:t>weis</w:t>
      </w:r>
      <w:proofErr w:type="spellEnd"/>
      <w:r w:rsidR="003A3CF5">
        <w:t xml:space="preserve">, </w:t>
      </w:r>
      <w:r>
        <w:t xml:space="preserve">“Effects of Phase Noise on OFDM Systems </w:t>
      </w:r>
      <w:proofErr w:type="gramStart"/>
      <w:r>
        <w:t>With</w:t>
      </w:r>
      <w:proofErr w:type="gramEnd"/>
      <w:r>
        <w:t xml:space="preserve"> and Without PLL: Characterization and Compensation</w:t>
      </w:r>
      <w:r w:rsidR="003A3CF5">
        <w:t>,</w:t>
      </w:r>
      <w:r>
        <w:t>”</w:t>
      </w:r>
      <w:r w:rsidR="003A3CF5">
        <w:t xml:space="preserve"> </w:t>
      </w:r>
      <w:r w:rsidR="00B8625B">
        <w:t xml:space="preserve">IEEE Trans. </w:t>
      </w:r>
      <w:r w:rsidR="005F4856">
        <w:t xml:space="preserve">Comm., </w:t>
      </w:r>
      <w:r w:rsidR="005D20DC">
        <w:t>Aug. 2007.</w:t>
      </w:r>
      <w:bookmarkEnd w:id="766"/>
    </w:p>
    <w:p w14:paraId="54F37563" w14:textId="53AE2F61" w:rsidR="00EA55D0" w:rsidRDefault="00EA55D0" w:rsidP="008A2C71">
      <w:pPr>
        <w:pStyle w:val="Reference"/>
      </w:pPr>
      <w:bookmarkStart w:id="767" w:name="_Ref46838837"/>
      <w:bookmarkStart w:id="768" w:name="_Ref53396159"/>
      <w:r w:rsidRPr="00055F8A">
        <w:t>R1-</w:t>
      </w:r>
      <w:r w:rsidR="00055F8A" w:rsidRPr="00055F8A">
        <w:t>2007984</w:t>
      </w:r>
      <w:r>
        <w:t xml:space="preserve">, </w:t>
      </w:r>
      <w:r w:rsidR="0087229E">
        <w:t xml:space="preserve">"Evaluation results for NR in 52.6 – 71 GHz," Ericsson, </w:t>
      </w:r>
      <w:bookmarkEnd w:id="767"/>
      <w:r w:rsidR="0087229E">
        <w:t>RAN1#103-e, October 2020.</w:t>
      </w:r>
      <w:bookmarkEnd w:id="768"/>
    </w:p>
    <w:p w14:paraId="6FAC4D2C" w14:textId="1ABF3509" w:rsidR="006361B6" w:rsidRDefault="0087229E" w:rsidP="008A2C71">
      <w:pPr>
        <w:pStyle w:val="Reference"/>
      </w:pPr>
      <w:bookmarkStart w:id="769" w:name="_Ref53500598"/>
      <w:bookmarkStart w:id="770" w:name="_Ref46321089"/>
      <w:r>
        <w:t xml:space="preserve">3GPP TR 38.808, </w:t>
      </w:r>
      <w:r w:rsidR="006361B6">
        <w:t>"</w:t>
      </w:r>
      <w:r w:rsidR="006361B6" w:rsidRPr="006361B6">
        <w:t>Study on supporting NR from 52.6 GHz to 71 GHz</w:t>
      </w:r>
      <w:r w:rsidR="006361B6">
        <w:t>," v0.0.2, September 2020.</w:t>
      </w:r>
      <w:bookmarkEnd w:id="769"/>
    </w:p>
    <w:p w14:paraId="5BC82947" w14:textId="084740FF" w:rsidR="008A2C71" w:rsidRPr="00EA0A41" w:rsidRDefault="006361B6" w:rsidP="008A2C71">
      <w:pPr>
        <w:pStyle w:val="Reference"/>
      </w:pPr>
      <w:bookmarkStart w:id="771" w:name="_Ref39243485"/>
      <w:bookmarkStart w:id="772" w:name="_Ref39243405"/>
      <w:bookmarkEnd w:id="770"/>
      <w:r>
        <w:t xml:space="preserve">3GPP </w:t>
      </w:r>
      <w:r w:rsidR="008A2C71" w:rsidRPr="00EA0A41">
        <w:t xml:space="preserve">TR 38.901, </w:t>
      </w:r>
      <w:r w:rsidR="008A2C71" w:rsidRPr="00EA0A41">
        <w:rPr>
          <w:lang w:eastAsia="ko-KR"/>
        </w:rPr>
        <w:t>Study on channel model for frequencies from 0.5 to 100 GHz</w:t>
      </w:r>
      <w:bookmarkEnd w:id="771"/>
    </w:p>
    <w:p w14:paraId="28E46C86" w14:textId="43F36793" w:rsidR="008A2C71" w:rsidRDefault="008A2C71" w:rsidP="008A2C71">
      <w:pPr>
        <w:pStyle w:val="Reference"/>
      </w:pPr>
      <w:bookmarkStart w:id="773" w:name="_Ref39243463"/>
      <w:r w:rsidRPr="00EA0A41">
        <w:t xml:space="preserve">A. </w:t>
      </w:r>
      <w:proofErr w:type="spellStart"/>
      <w:r w:rsidRPr="00EA0A41">
        <w:t>Simonsson</w:t>
      </w:r>
      <w:proofErr w:type="spellEnd"/>
      <w:r w:rsidRPr="00EA0A41">
        <w:t>, H. Asplund, J. Medbo and K. Werner, "Beamforming Impact on Time Dispersion Assessed on Measured Channels," 2018 IEEE 87th Vehicular Technology Conference (VTC Spring), Porto, 2018, pp. 1-6.</w:t>
      </w:r>
      <w:bookmarkEnd w:id="772"/>
      <w:bookmarkEnd w:id="773"/>
    </w:p>
    <w:p w14:paraId="6BD94353" w14:textId="1FDF3D4D" w:rsidR="00451AA6" w:rsidRPr="00EA0A41" w:rsidRDefault="00451AA6" w:rsidP="008A2C71">
      <w:pPr>
        <w:pStyle w:val="Reference"/>
      </w:pPr>
      <w:bookmarkStart w:id="774" w:name="_Ref53500132"/>
      <w:r>
        <w:t>R1-2005866, "</w:t>
      </w:r>
      <w:r w:rsidRPr="00451AA6">
        <w:t>Discussion on Required Changes to NR in 52.6</w:t>
      </w:r>
      <w:r>
        <w:t xml:space="preserve"> - </w:t>
      </w:r>
      <w:r w:rsidRPr="00451AA6">
        <w:t>71 GHz</w:t>
      </w:r>
      <w:r>
        <w:t>," Intel, RAN1#102-e, August 2020.</w:t>
      </w:r>
      <w:bookmarkEnd w:id="774"/>
    </w:p>
    <w:p w14:paraId="5E242173" w14:textId="36D28CE8" w:rsidR="008A2C71" w:rsidRDefault="006361B6" w:rsidP="008A2C71">
      <w:pPr>
        <w:pStyle w:val="Reference"/>
      </w:pPr>
      <w:bookmarkStart w:id="775" w:name="_Ref39586750"/>
      <w:r>
        <w:t xml:space="preserve">3GPP </w:t>
      </w:r>
      <w:r w:rsidR="008A2C71">
        <w:t xml:space="preserve">TS 38.214, </w:t>
      </w:r>
      <w:r w:rsidR="008A2C71" w:rsidRPr="00F51238">
        <w:t>Physical layer procedures for data</w:t>
      </w:r>
      <w:r w:rsidR="008A2C71">
        <w:t>.</w:t>
      </w:r>
      <w:bookmarkEnd w:id="775"/>
    </w:p>
    <w:p w14:paraId="2B2431A3" w14:textId="62072A83" w:rsidR="008A2C71" w:rsidRDefault="006361B6" w:rsidP="008A2C71">
      <w:pPr>
        <w:pStyle w:val="Reference"/>
      </w:pPr>
      <w:bookmarkStart w:id="776" w:name="_Ref39589635"/>
      <w:r>
        <w:t xml:space="preserve">3GPP </w:t>
      </w:r>
      <w:r w:rsidR="008A2C71">
        <w:t xml:space="preserve">TS 38.213, </w:t>
      </w:r>
      <w:r w:rsidR="008A2C71" w:rsidRPr="00D11F23">
        <w:t xml:space="preserve">Physical layer procedures for </w:t>
      </w:r>
      <w:r w:rsidR="008A2C71">
        <w:t>control.</w:t>
      </w:r>
      <w:bookmarkEnd w:id="776"/>
    </w:p>
    <w:p w14:paraId="26911388" w14:textId="6741F219" w:rsidR="008A2C71" w:rsidRDefault="006361B6" w:rsidP="008A2C71">
      <w:pPr>
        <w:pStyle w:val="Reference"/>
      </w:pPr>
      <w:bookmarkStart w:id="777" w:name="_Ref39673732"/>
      <w:r>
        <w:t xml:space="preserve">3GPP, </w:t>
      </w:r>
      <w:r w:rsidR="008A2C71">
        <w:t>TR 38.803, Study on new radio access technology: Radio Frequency (RF) and co-existence aspects.</w:t>
      </w:r>
      <w:bookmarkEnd w:id="777"/>
    </w:p>
    <w:bookmarkStart w:id="778" w:name="_Ref40272835"/>
    <w:p w14:paraId="26316C9F" w14:textId="698A0812" w:rsidR="008A2C71" w:rsidRPr="00371D18" w:rsidRDefault="008A2C71" w:rsidP="008A2C71">
      <w:pPr>
        <w:pStyle w:val="Reference"/>
      </w:pPr>
      <w:r w:rsidRPr="0035235B">
        <w:rPr>
          <w:lang w:val="en-GB"/>
        </w:rPr>
        <w:fldChar w:fldCharType="begin"/>
      </w:r>
      <w:r w:rsidRPr="00371D18">
        <w:instrText xml:space="preserve"> HYPERLINK "https://web.archive.org/web/20140823221003/http:/cp.literature.agilent.com/litweb/pdf/5990-9697EN.pdf" </w:instrText>
      </w:r>
      <w:r w:rsidR="00B04ED4" w:rsidRPr="0035235B">
        <w:rPr>
          <w:lang w:val="en-GB"/>
        </w:rPr>
      </w:r>
      <w:r w:rsidRPr="0035235B">
        <w:rPr>
          <w:lang w:val="en-GB"/>
        </w:rPr>
        <w:fldChar w:fldCharType="separate"/>
      </w:r>
      <w:r w:rsidRPr="0035235B">
        <w:rPr>
          <w:rStyle w:val="Hyperlink"/>
          <w:rFonts w:cs="Arial"/>
          <w:color w:val="663366"/>
          <w:shd w:val="clear" w:color="auto" w:fill="FFFFFF"/>
        </w:rPr>
        <w:t>"Wireless LAN at 60 GHz - IEEE 802.11ad Explained"</w:t>
      </w:r>
      <w:r w:rsidRPr="0035235B">
        <w:rPr>
          <w:rStyle w:val="Hyperlink"/>
          <w:rFonts w:cs="Arial"/>
          <w:color w:val="663366"/>
          <w:shd w:val="clear" w:color="auto" w:fill="FFFFFF"/>
        </w:rPr>
        <w:fldChar w:fldCharType="end"/>
      </w:r>
      <w:r w:rsidRPr="0035235B">
        <w:rPr>
          <w:rFonts w:cs="Arial"/>
          <w:color w:val="222222"/>
          <w:shd w:val="clear" w:color="auto" w:fill="FFFFFF"/>
        </w:rPr>
        <w:t> </w:t>
      </w:r>
      <w:r w:rsidRPr="0035235B">
        <w:rPr>
          <w:rStyle w:val="cs1-format"/>
          <w:rFonts w:cs="Arial"/>
          <w:color w:val="222222"/>
          <w:shd w:val="clear" w:color="auto" w:fill="FFFFFF"/>
        </w:rPr>
        <w:t>(PDF)</w:t>
      </w:r>
      <w:r w:rsidRPr="0035235B">
        <w:rPr>
          <w:rFonts w:cs="Arial"/>
          <w:color w:val="222222"/>
          <w:shd w:val="clear" w:color="auto" w:fill="FFFFFF"/>
        </w:rPr>
        <w:t>. </w:t>
      </w:r>
      <w:r w:rsidRPr="0035235B">
        <w:rPr>
          <w:rFonts w:cs="Arial"/>
          <w:i/>
          <w:color w:val="222222"/>
          <w:shd w:val="clear" w:color="auto" w:fill="FFFFFF"/>
        </w:rPr>
        <w:t xml:space="preserve">Application </w:t>
      </w:r>
      <w:proofErr w:type="gramStart"/>
      <w:r w:rsidRPr="0035235B">
        <w:rPr>
          <w:rFonts w:cs="Arial"/>
          <w:i/>
          <w:color w:val="222222"/>
          <w:shd w:val="clear" w:color="auto" w:fill="FFFFFF"/>
        </w:rPr>
        <w:t>note</w:t>
      </w:r>
      <w:proofErr w:type="gramEnd"/>
      <w:r w:rsidRPr="0035235B">
        <w:rPr>
          <w:rFonts w:cs="Arial"/>
          <w:i/>
          <w:color w:val="222222"/>
          <w:shd w:val="clear" w:color="auto" w:fill="FFFFFF"/>
        </w:rPr>
        <w:t xml:space="preserve"> from </w:t>
      </w:r>
      <w:r w:rsidR="00DF615C" w:rsidRPr="00F94015">
        <w:t>Agilent</w:t>
      </w:r>
      <w:r w:rsidRPr="0035235B">
        <w:rPr>
          <w:rFonts w:cs="Arial"/>
          <w:color w:val="222222"/>
          <w:shd w:val="clear" w:color="auto" w:fill="FFFFFF"/>
        </w:rPr>
        <w:t>. 2013-05-30. Archived from </w:t>
      </w:r>
      <w:hyperlink r:id="rId83" w:history="1">
        <w:r w:rsidRPr="0035235B">
          <w:rPr>
            <w:rStyle w:val="Hyperlink"/>
            <w:rFonts w:cs="Arial"/>
            <w:color w:val="663366"/>
            <w:shd w:val="clear" w:color="auto" w:fill="FFFFFF"/>
          </w:rPr>
          <w:t>the original</w:t>
        </w:r>
      </w:hyperlink>
      <w:r w:rsidRPr="0035235B">
        <w:rPr>
          <w:rFonts w:cs="Arial"/>
          <w:color w:val="222222"/>
          <w:shd w:val="clear" w:color="auto" w:fill="FFFFFF"/>
        </w:rPr>
        <w:t> </w:t>
      </w:r>
      <w:r w:rsidRPr="0035235B">
        <w:rPr>
          <w:rStyle w:val="cs1-format"/>
          <w:rFonts w:cs="Arial"/>
          <w:color w:val="222222"/>
          <w:shd w:val="clear" w:color="auto" w:fill="FFFFFF"/>
        </w:rPr>
        <w:t>(PDF)</w:t>
      </w:r>
      <w:r w:rsidRPr="0035235B">
        <w:rPr>
          <w:rFonts w:cs="Arial"/>
          <w:color w:val="222222"/>
          <w:shd w:val="clear" w:color="auto" w:fill="FFFFFF"/>
        </w:rPr>
        <w:t> on 2014-08-23</w:t>
      </w:r>
      <w:r w:rsidRPr="0035235B">
        <w:rPr>
          <w:rStyle w:val="reference-accessdate"/>
          <w:rFonts w:cs="Arial"/>
          <w:color w:val="222222"/>
          <w:shd w:val="clear" w:color="auto" w:fill="FFFFFF"/>
        </w:rPr>
        <w:t>. Retrieved </w:t>
      </w:r>
      <w:r w:rsidRPr="0035235B">
        <w:rPr>
          <w:rStyle w:val="nowrap"/>
          <w:rFonts w:cs="Arial"/>
          <w:color w:val="222222"/>
          <w:shd w:val="clear" w:color="auto" w:fill="FFFFFF"/>
        </w:rPr>
        <w:t>2014-05-08</w:t>
      </w:r>
      <w:r w:rsidRPr="0035235B">
        <w:rPr>
          <w:rFonts w:cs="Arial"/>
          <w:color w:val="222222"/>
          <w:shd w:val="clear" w:color="auto" w:fill="FFFFFF"/>
        </w:rPr>
        <w:t>.</w:t>
      </w:r>
      <w:bookmarkEnd w:id="778"/>
    </w:p>
    <w:bookmarkStart w:id="779" w:name="_Ref40272838"/>
    <w:p w14:paraId="5120D97E" w14:textId="6F94A4D1" w:rsidR="008A2C71" w:rsidRPr="00371D18" w:rsidRDefault="008A2C71" w:rsidP="008A2C71">
      <w:pPr>
        <w:pStyle w:val="Reference"/>
      </w:pPr>
      <w:r w:rsidRPr="0035235B">
        <w:rPr>
          <w:lang w:val="en-GB"/>
        </w:rPr>
        <w:fldChar w:fldCharType="begin"/>
      </w:r>
      <w:r w:rsidRPr="00371D18">
        <w:instrText xml:space="preserve"> HYPERLINK "http://www.rohde-schwarz.com/en/applications/802.11ad-wlan-at-60-ghz-application-note_56280-50625.html" </w:instrText>
      </w:r>
      <w:r w:rsidR="00B04ED4" w:rsidRPr="0035235B">
        <w:rPr>
          <w:lang w:val="en-GB"/>
        </w:rPr>
      </w:r>
      <w:r w:rsidRPr="0035235B">
        <w:rPr>
          <w:lang w:val="en-GB"/>
        </w:rPr>
        <w:fldChar w:fldCharType="separate"/>
      </w:r>
      <w:r w:rsidRPr="0035235B">
        <w:rPr>
          <w:rStyle w:val="Hyperlink"/>
          <w:rFonts w:cs="Arial"/>
          <w:color w:val="663366"/>
        </w:rPr>
        <w:t>"802.11ad - WLAN at 60 GHz A Technology Introduction"</w:t>
      </w:r>
      <w:r w:rsidRPr="0035235B">
        <w:rPr>
          <w:rStyle w:val="Hyperlink"/>
          <w:rFonts w:cs="Arial"/>
          <w:color w:val="663366"/>
        </w:rPr>
        <w:fldChar w:fldCharType="end"/>
      </w:r>
      <w:r w:rsidRPr="0035235B">
        <w:rPr>
          <w:rFonts w:cs="Arial"/>
          <w:color w:val="222222"/>
          <w:shd w:val="clear" w:color="auto" w:fill="FFFFFF"/>
        </w:rPr>
        <w:t> </w:t>
      </w:r>
      <w:r w:rsidRPr="0035235B">
        <w:rPr>
          <w:rStyle w:val="cs1-format"/>
          <w:rFonts w:cs="Arial"/>
          <w:color w:val="222222"/>
          <w:shd w:val="clear" w:color="auto" w:fill="FFFFFF"/>
        </w:rPr>
        <w:t>(PDF)</w:t>
      </w:r>
      <w:r w:rsidRPr="0035235B">
        <w:rPr>
          <w:rFonts w:cs="Arial"/>
          <w:color w:val="222222"/>
          <w:shd w:val="clear" w:color="auto" w:fill="FFFFFF"/>
        </w:rPr>
        <w:t>. </w:t>
      </w:r>
      <w:r w:rsidRPr="00F94015">
        <w:rPr>
          <w:rFonts w:cs="Arial"/>
          <w:color w:val="222222"/>
          <w:shd w:val="clear" w:color="auto" w:fill="FFFFFF"/>
        </w:rPr>
        <w:t>White Paper by </w:t>
      </w:r>
      <w:r w:rsidR="00DF615C" w:rsidRPr="00F94015">
        <w:t>Rohde &amp; Schwarz</w:t>
      </w:r>
      <w:r w:rsidRPr="0035235B">
        <w:rPr>
          <w:rFonts w:cs="Arial"/>
          <w:color w:val="222222"/>
          <w:shd w:val="clear" w:color="auto" w:fill="FFFFFF"/>
        </w:rPr>
        <w:t>. 2013-11-21</w:t>
      </w:r>
      <w:r w:rsidRPr="0035235B">
        <w:rPr>
          <w:rStyle w:val="reference-accessdate"/>
          <w:rFonts w:cs="Arial"/>
          <w:color w:val="222222"/>
          <w:shd w:val="clear" w:color="auto" w:fill="FFFFFF"/>
        </w:rPr>
        <w:t>. Retrieved </w:t>
      </w:r>
      <w:r w:rsidRPr="0035235B">
        <w:rPr>
          <w:rStyle w:val="nowrap"/>
          <w:rFonts w:cs="Arial"/>
          <w:color w:val="222222"/>
          <w:shd w:val="clear" w:color="auto" w:fill="FFFFFF"/>
        </w:rPr>
        <w:t>2014-12-09</w:t>
      </w:r>
      <w:r w:rsidRPr="0035235B">
        <w:rPr>
          <w:rFonts w:cs="Arial"/>
          <w:color w:val="222222"/>
          <w:shd w:val="clear" w:color="auto" w:fill="FFFFFF"/>
        </w:rPr>
        <w:t>.</w:t>
      </w:r>
      <w:bookmarkEnd w:id="779"/>
    </w:p>
    <w:bookmarkStart w:id="780" w:name="_Ref40272840"/>
    <w:p w14:paraId="7444866B" w14:textId="2C6C33D8" w:rsidR="008A2C71" w:rsidRDefault="008A2C71" w:rsidP="008A2C71">
      <w:pPr>
        <w:pStyle w:val="Reference"/>
      </w:pPr>
      <w:r>
        <w:fldChar w:fldCharType="begin"/>
      </w:r>
      <w:r>
        <w:instrText xml:space="preserve"> HYPERLINK "https://www.smallnetbuilder.com/tags/80211ad" </w:instrText>
      </w:r>
      <w:r>
        <w:fldChar w:fldCharType="separate"/>
      </w:r>
      <w:r>
        <w:rPr>
          <w:rStyle w:val="Hyperlink"/>
        </w:rPr>
        <w:t>https://www.smallnetbuilder.com/tags/80211ad</w:t>
      </w:r>
      <w:r>
        <w:rPr>
          <w:rStyle w:val="Hyperlink"/>
        </w:rPr>
        <w:fldChar w:fldCharType="end"/>
      </w:r>
      <w:r>
        <w:t>.</w:t>
      </w:r>
      <w:bookmarkEnd w:id="780"/>
    </w:p>
    <w:p w14:paraId="50DC7179" w14:textId="1E0D1114" w:rsidR="00A12073" w:rsidRDefault="008444EB" w:rsidP="008A2C71">
      <w:pPr>
        <w:pStyle w:val="Reference"/>
        <w:rPr>
          <w:lang w:eastAsia="en-US"/>
        </w:rPr>
      </w:pPr>
      <w:bookmarkStart w:id="781" w:name="_Ref47530541"/>
      <w:bookmarkStart w:id="782" w:name="_Ref53395851"/>
      <w:r w:rsidRPr="0087229E">
        <w:rPr>
          <w:highlight w:val="yellow"/>
        </w:rPr>
        <w:lastRenderedPageBreak/>
        <w:t>R4-20</w:t>
      </w:r>
      <w:r w:rsidR="0087229E" w:rsidRPr="0087229E">
        <w:rPr>
          <w:highlight w:val="yellow"/>
        </w:rPr>
        <w:t>xxxx</w:t>
      </w:r>
      <w:r>
        <w:t>, “Key technology considerations relating to 52-71GHz specification”</w:t>
      </w:r>
      <w:r w:rsidR="00FD2374">
        <w:t>, Ericsson</w:t>
      </w:r>
      <w:bookmarkEnd w:id="781"/>
      <w:r w:rsidR="006361B6">
        <w:t>, RAN4#97-e, November 2020.</w:t>
      </w:r>
      <w:bookmarkEnd w:id="782"/>
    </w:p>
    <w:p w14:paraId="5569D6F3" w14:textId="18AF7A2E" w:rsidR="00823C70" w:rsidRDefault="00F56DCA" w:rsidP="008A2C71">
      <w:pPr>
        <w:pStyle w:val="Reference"/>
        <w:rPr>
          <w:lang w:eastAsia="en-US"/>
        </w:rPr>
      </w:pPr>
      <w:bookmarkStart w:id="783" w:name="_Ref53393318"/>
      <w:r>
        <w:t>R4-</w:t>
      </w:r>
      <w:r w:rsidR="00854A9B">
        <w:t>20</w:t>
      </w:r>
      <w:r w:rsidR="000D1427">
        <w:t xml:space="preserve">10176, </w:t>
      </w:r>
      <w:r w:rsidR="002857DC">
        <w:t>“</w:t>
      </w:r>
      <w:r w:rsidR="004A43DC" w:rsidRPr="004A43DC">
        <w:t>On phase noise for 52.6-71 GHz</w:t>
      </w:r>
      <w:r w:rsidR="002857DC">
        <w:t xml:space="preserve">”, </w:t>
      </w:r>
      <w:r w:rsidR="00051F50">
        <w:t>Ericsson</w:t>
      </w:r>
      <w:bookmarkEnd w:id="783"/>
    </w:p>
    <w:p w14:paraId="00CA5AB1" w14:textId="08265198" w:rsidR="00DB22B4" w:rsidRDefault="00DB22B4" w:rsidP="008A2C71">
      <w:pPr>
        <w:pStyle w:val="Reference"/>
        <w:rPr>
          <w:lang w:eastAsia="en-US"/>
        </w:rPr>
      </w:pPr>
      <w:bookmarkStart w:id="784" w:name="_Ref53393325"/>
      <w:r>
        <w:t>R4-2011494, “</w:t>
      </w:r>
      <w:r w:rsidR="004E4631" w:rsidRPr="004E4631">
        <w:t>On PN model for 52.6~71GHz</w:t>
      </w:r>
      <w:r w:rsidRPr="003C2819">
        <w:t>”,</w:t>
      </w:r>
      <w:r>
        <w:t xml:space="preserve"> Huawei</w:t>
      </w:r>
      <w:bookmarkEnd w:id="784"/>
    </w:p>
    <w:p w14:paraId="1EC00812" w14:textId="2B9BBA9D" w:rsidR="00DB22B4" w:rsidRDefault="005B15D5" w:rsidP="008A2C71">
      <w:pPr>
        <w:pStyle w:val="Reference"/>
        <w:rPr>
          <w:lang w:eastAsia="en-US"/>
        </w:rPr>
      </w:pPr>
      <w:bookmarkStart w:id="785" w:name="_Ref52547881"/>
      <w:r>
        <w:t xml:space="preserve">J. Stott, </w:t>
      </w:r>
      <w:r w:rsidR="00AC63FD">
        <w:t>“</w:t>
      </w:r>
      <w:r w:rsidR="00AC63FD" w:rsidRPr="00AC63FD">
        <w:t>The effects of phase noise in COFDM</w:t>
      </w:r>
      <w:r w:rsidR="00AC63FD">
        <w:t xml:space="preserve">,” </w:t>
      </w:r>
      <w:r w:rsidR="004674FA" w:rsidRPr="003C2819">
        <w:rPr>
          <w:i/>
        </w:rPr>
        <w:t>BBC Research &amp; Development Technical Review</w:t>
      </w:r>
      <w:r w:rsidR="004674FA" w:rsidRPr="004674FA">
        <w:t>, Summer</w:t>
      </w:r>
      <w:r w:rsidR="004674FA">
        <w:t>, 1998.</w:t>
      </w:r>
      <w:bookmarkEnd w:id="785"/>
    </w:p>
    <w:p w14:paraId="2189DFED" w14:textId="233E7D12" w:rsidR="00F35CF9" w:rsidRDefault="00B04ED4" w:rsidP="008A2C71">
      <w:pPr>
        <w:pStyle w:val="Reference"/>
        <w:rPr>
          <w:lang w:eastAsia="en-US"/>
        </w:rPr>
      </w:pPr>
      <w:hyperlink r:id="rId84" w:history="1">
        <w:bookmarkStart w:id="786" w:name="_Ref53119110"/>
        <w:r w:rsidR="00F24E1B" w:rsidRPr="00F24E1B">
          <w:rPr>
            <w:rStyle w:val="Hyperlink"/>
            <w:lang w:eastAsia="en-US"/>
          </w:rPr>
          <w:t>https://mentor.ieee.org/802.11/dcn/16/11-16-0456-00-00aj-overview-of-802-11aj-60ghz-and-its-backward-compatibility-features.ppt</w:t>
        </w:r>
        <w:bookmarkEnd w:id="786"/>
      </w:hyperlink>
    </w:p>
    <w:p w14:paraId="526A9F58" w14:textId="56E25F9E" w:rsidR="00B37820" w:rsidRDefault="00844F5D" w:rsidP="008A2C71">
      <w:pPr>
        <w:pStyle w:val="Reference"/>
        <w:rPr>
          <w:lang w:eastAsia="en-US"/>
        </w:rPr>
      </w:pPr>
      <w:bookmarkStart w:id="787" w:name="_Ref53396834"/>
      <w:r w:rsidRPr="00844F5D">
        <w:rPr>
          <w:lang w:eastAsia="en-US"/>
        </w:rPr>
        <w:t xml:space="preserve">V. </w:t>
      </w:r>
      <w:proofErr w:type="spellStart"/>
      <w:r w:rsidRPr="00844F5D">
        <w:rPr>
          <w:lang w:eastAsia="en-US"/>
        </w:rPr>
        <w:t>Syrjälä</w:t>
      </w:r>
      <w:proofErr w:type="spellEnd"/>
      <w:r w:rsidRPr="00844F5D">
        <w:rPr>
          <w:lang w:eastAsia="en-US"/>
        </w:rPr>
        <w:t xml:space="preserve">, T. </w:t>
      </w:r>
      <w:proofErr w:type="spellStart"/>
      <w:r w:rsidRPr="00844F5D">
        <w:rPr>
          <w:lang w:eastAsia="en-US"/>
        </w:rPr>
        <w:t>Levanen</w:t>
      </w:r>
      <w:proofErr w:type="spellEnd"/>
      <w:r w:rsidRPr="00844F5D">
        <w:rPr>
          <w:lang w:eastAsia="en-US"/>
        </w:rPr>
        <w:t xml:space="preserve">, T. </w:t>
      </w:r>
      <w:proofErr w:type="spellStart"/>
      <w:r w:rsidRPr="00844F5D">
        <w:rPr>
          <w:lang w:eastAsia="en-US"/>
        </w:rPr>
        <w:t>Ihalainen</w:t>
      </w:r>
      <w:proofErr w:type="spellEnd"/>
      <w:r w:rsidRPr="00844F5D">
        <w:rPr>
          <w:lang w:eastAsia="en-US"/>
        </w:rPr>
        <w:t xml:space="preserve"> and M. </w:t>
      </w:r>
      <w:proofErr w:type="spellStart"/>
      <w:r w:rsidRPr="00844F5D">
        <w:rPr>
          <w:lang w:eastAsia="en-US"/>
        </w:rPr>
        <w:t>Valkama</w:t>
      </w:r>
      <w:proofErr w:type="spellEnd"/>
      <w:r w:rsidRPr="00844F5D">
        <w:rPr>
          <w:lang w:eastAsia="en-US"/>
        </w:rPr>
        <w:t>, “Pilot Allocation and Computationally Efficient Non-Iterative Estimation of Phase Noise in OFDM,” IEEE Wireless Comm Letters, Apr. 2019.</w:t>
      </w:r>
      <w:bookmarkEnd w:id="787"/>
    </w:p>
    <w:bookmarkEnd w:id="758"/>
    <w:bookmarkEnd w:id="759"/>
    <w:p w14:paraId="6B915264" w14:textId="75C35129" w:rsidR="008A2C71" w:rsidRDefault="008A2C71" w:rsidP="008A2C71">
      <w:pPr>
        <w:pStyle w:val="BodyText"/>
      </w:pPr>
    </w:p>
    <w:sectPr w:rsidR="008A2C71" w:rsidSect="00AC1B06">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6A5C98" w14:textId="77777777" w:rsidR="00BE31F7" w:rsidRDefault="00BE31F7">
      <w:pPr>
        <w:spacing w:after="0"/>
      </w:pPr>
      <w:r>
        <w:separator/>
      </w:r>
    </w:p>
  </w:endnote>
  <w:endnote w:type="continuationSeparator" w:id="0">
    <w:p w14:paraId="11BCF382" w14:textId="77777777" w:rsidR="00BE31F7" w:rsidRDefault="00BE31F7">
      <w:pPr>
        <w:spacing w:after="0"/>
      </w:pPr>
      <w:r>
        <w:continuationSeparator/>
      </w:r>
    </w:p>
  </w:endnote>
  <w:endnote w:type="continuationNotice" w:id="1">
    <w:p w14:paraId="7884F401" w14:textId="77777777" w:rsidR="00BE31F7" w:rsidRDefault="00BE31F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w:altName w:val="Calibri"/>
    <w:panose1 w:val="000005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4558C2" w14:textId="77777777" w:rsidR="00BE31F7" w:rsidRDefault="00BE31F7">
      <w:pPr>
        <w:spacing w:after="0"/>
      </w:pPr>
      <w:r>
        <w:separator/>
      </w:r>
    </w:p>
  </w:footnote>
  <w:footnote w:type="continuationSeparator" w:id="0">
    <w:p w14:paraId="2488BDED" w14:textId="77777777" w:rsidR="00BE31F7" w:rsidRDefault="00BE31F7">
      <w:pPr>
        <w:spacing w:after="0"/>
      </w:pPr>
      <w:r>
        <w:continuationSeparator/>
      </w:r>
    </w:p>
  </w:footnote>
  <w:footnote w:type="continuationNotice" w:id="1">
    <w:p w14:paraId="4BD2A0C3" w14:textId="77777777" w:rsidR="00BE31F7" w:rsidRDefault="00BE31F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6BA4AA8"/>
    <w:multiLevelType w:val="hybridMultilevel"/>
    <w:tmpl w:val="A664C6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A31D5C"/>
    <w:multiLevelType w:val="hybridMultilevel"/>
    <w:tmpl w:val="D99CF7BC"/>
    <w:lvl w:ilvl="0" w:tplc="1CD2F2D8">
      <w:start w:val="1"/>
      <w:numFmt w:val="lowerLetter"/>
      <w:lvlText w:val="(%1)"/>
      <w:lvlJc w:val="left"/>
      <w:pPr>
        <w:ind w:left="2565" w:hanging="360"/>
      </w:pPr>
      <w:rPr>
        <w:rFonts w:hint="default"/>
      </w:rPr>
    </w:lvl>
    <w:lvl w:ilvl="1" w:tplc="04090019" w:tentative="1">
      <w:start w:val="1"/>
      <w:numFmt w:val="lowerLetter"/>
      <w:lvlText w:val="%2."/>
      <w:lvlJc w:val="left"/>
      <w:pPr>
        <w:ind w:left="3285" w:hanging="360"/>
      </w:pPr>
    </w:lvl>
    <w:lvl w:ilvl="2" w:tplc="0409001B" w:tentative="1">
      <w:start w:val="1"/>
      <w:numFmt w:val="lowerRoman"/>
      <w:lvlText w:val="%3."/>
      <w:lvlJc w:val="right"/>
      <w:pPr>
        <w:ind w:left="4005" w:hanging="180"/>
      </w:pPr>
    </w:lvl>
    <w:lvl w:ilvl="3" w:tplc="0409000F" w:tentative="1">
      <w:start w:val="1"/>
      <w:numFmt w:val="decimal"/>
      <w:lvlText w:val="%4."/>
      <w:lvlJc w:val="left"/>
      <w:pPr>
        <w:ind w:left="4725" w:hanging="360"/>
      </w:pPr>
    </w:lvl>
    <w:lvl w:ilvl="4" w:tplc="04090019" w:tentative="1">
      <w:start w:val="1"/>
      <w:numFmt w:val="lowerLetter"/>
      <w:lvlText w:val="%5."/>
      <w:lvlJc w:val="left"/>
      <w:pPr>
        <w:ind w:left="5445" w:hanging="360"/>
      </w:pPr>
    </w:lvl>
    <w:lvl w:ilvl="5" w:tplc="0409001B" w:tentative="1">
      <w:start w:val="1"/>
      <w:numFmt w:val="lowerRoman"/>
      <w:lvlText w:val="%6."/>
      <w:lvlJc w:val="right"/>
      <w:pPr>
        <w:ind w:left="6165" w:hanging="180"/>
      </w:pPr>
    </w:lvl>
    <w:lvl w:ilvl="6" w:tplc="0409000F" w:tentative="1">
      <w:start w:val="1"/>
      <w:numFmt w:val="decimal"/>
      <w:lvlText w:val="%7."/>
      <w:lvlJc w:val="left"/>
      <w:pPr>
        <w:ind w:left="6885" w:hanging="360"/>
      </w:pPr>
    </w:lvl>
    <w:lvl w:ilvl="7" w:tplc="04090019" w:tentative="1">
      <w:start w:val="1"/>
      <w:numFmt w:val="lowerLetter"/>
      <w:lvlText w:val="%8."/>
      <w:lvlJc w:val="left"/>
      <w:pPr>
        <w:ind w:left="7605" w:hanging="360"/>
      </w:pPr>
    </w:lvl>
    <w:lvl w:ilvl="8" w:tplc="0409001B" w:tentative="1">
      <w:start w:val="1"/>
      <w:numFmt w:val="lowerRoman"/>
      <w:lvlText w:val="%9."/>
      <w:lvlJc w:val="right"/>
      <w:pPr>
        <w:ind w:left="8325" w:hanging="180"/>
      </w:pPr>
    </w:lvl>
  </w:abstractNum>
  <w:abstractNum w:abstractNumId="3" w15:restartNumberingAfterBreak="0">
    <w:nsid w:val="080440BC"/>
    <w:multiLevelType w:val="hybridMultilevel"/>
    <w:tmpl w:val="55145D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4D2DC9"/>
    <w:multiLevelType w:val="hybridMultilevel"/>
    <w:tmpl w:val="71E01456"/>
    <w:lvl w:ilvl="0" w:tplc="E92AA076">
      <w:start w:val="1"/>
      <w:numFmt w:val="lowerLetter"/>
      <w:lvlText w:val="(%1)"/>
      <w:lvlJc w:val="left"/>
      <w:pPr>
        <w:ind w:left="3210" w:hanging="360"/>
      </w:pPr>
      <w:rPr>
        <w:rFonts w:hint="default"/>
      </w:rPr>
    </w:lvl>
    <w:lvl w:ilvl="1" w:tplc="04090019" w:tentative="1">
      <w:start w:val="1"/>
      <w:numFmt w:val="lowerLetter"/>
      <w:lvlText w:val="%2."/>
      <w:lvlJc w:val="left"/>
      <w:pPr>
        <w:ind w:left="3930" w:hanging="360"/>
      </w:pPr>
    </w:lvl>
    <w:lvl w:ilvl="2" w:tplc="0409001B" w:tentative="1">
      <w:start w:val="1"/>
      <w:numFmt w:val="lowerRoman"/>
      <w:lvlText w:val="%3."/>
      <w:lvlJc w:val="right"/>
      <w:pPr>
        <w:ind w:left="4650" w:hanging="180"/>
      </w:pPr>
    </w:lvl>
    <w:lvl w:ilvl="3" w:tplc="0409000F" w:tentative="1">
      <w:start w:val="1"/>
      <w:numFmt w:val="decimal"/>
      <w:lvlText w:val="%4."/>
      <w:lvlJc w:val="left"/>
      <w:pPr>
        <w:ind w:left="5370" w:hanging="360"/>
      </w:pPr>
    </w:lvl>
    <w:lvl w:ilvl="4" w:tplc="04090019" w:tentative="1">
      <w:start w:val="1"/>
      <w:numFmt w:val="lowerLetter"/>
      <w:lvlText w:val="%5."/>
      <w:lvlJc w:val="left"/>
      <w:pPr>
        <w:ind w:left="6090" w:hanging="360"/>
      </w:pPr>
    </w:lvl>
    <w:lvl w:ilvl="5" w:tplc="0409001B" w:tentative="1">
      <w:start w:val="1"/>
      <w:numFmt w:val="lowerRoman"/>
      <w:lvlText w:val="%6."/>
      <w:lvlJc w:val="right"/>
      <w:pPr>
        <w:ind w:left="6810" w:hanging="180"/>
      </w:pPr>
    </w:lvl>
    <w:lvl w:ilvl="6" w:tplc="0409000F" w:tentative="1">
      <w:start w:val="1"/>
      <w:numFmt w:val="decimal"/>
      <w:lvlText w:val="%7."/>
      <w:lvlJc w:val="left"/>
      <w:pPr>
        <w:ind w:left="7530" w:hanging="360"/>
      </w:pPr>
    </w:lvl>
    <w:lvl w:ilvl="7" w:tplc="04090019" w:tentative="1">
      <w:start w:val="1"/>
      <w:numFmt w:val="lowerLetter"/>
      <w:lvlText w:val="%8."/>
      <w:lvlJc w:val="left"/>
      <w:pPr>
        <w:ind w:left="8250" w:hanging="360"/>
      </w:pPr>
    </w:lvl>
    <w:lvl w:ilvl="8" w:tplc="0409001B" w:tentative="1">
      <w:start w:val="1"/>
      <w:numFmt w:val="lowerRoman"/>
      <w:lvlText w:val="%9."/>
      <w:lvlJc w:val="right"/>
      <w:pPr>
        <w:ind w:left="8970" w:hanging="180"/>
      </w:pPr>
    </w:lvl>
  </w:abstractNum>
  <w:abstractNum w:abstractNumId="5" w15:restartNumberingAfterBreak="0">
    <w:nsid w:val="08C92EBB"/>
    <w:multiLevelType w:val="hybridMultilevel"/>
    <w:tmpl w:val="DDA80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C3A50E5"/>
    <w:multiLevelType w:val="hybridMultilevel"/>
    <w:tmpl w:val="34D400F8"/>
    <w:lvl w:ilvl="0" w:tplc="8796FDDE">
      <w:start w:val="1"/>
      <w:numFmt w:val="bullet"/>
      <w:lvlText w:val="●"/>
      <w:lvlJc w:val="left"/>
      <w:pPr>
        <w:tabs>
          <w:tab w:val="num" w:pos="720"/>
        </w:tabs>
        <w:ind w:left="720" w:hanging="360"/>
      </w:pPr>
      <w:rPr>
        <w:rFonts w:ascii="Ericsson Hilda" w:hAnsi="Ericsson Hilda" w:hint="default"/>
      </w:rPr>
    </w:lvl>
    <w:lvl w:ilvl="1" w:tplc="E298A23E" w:tentative="1">
      <w:start w:val="1"/>
      <w:numFmt w:val="bullet"/>
      <w:lvlText w:val="●"/>
      <w:lvlJc w:val="left"/>
      <w:pPr>
        <w:tabs>
          <w:tab w:val="num" w:pos="1440"/>
        </w:tabs>
        <w:ind w:left="1440" w:hanging="360"/>
      </w:pPr>
      <w:rPr>
        <w:rFonts w:ascii="Ericsson Hilda" w:hAnsi="Ericsson Hilda" w:hint="default"/>
      </w:rPr>
    </w:lvl>
    <w:lvl w:ilvl="2" w:tplc="9C167A2E">
      <w:start w:val="1"/>
      <w:numFmt w:val="bullet"/>
      <w:lvlText w:val="●"/>
      <w:lvlJc w:val="left"/>
      <w:pPr>
        <w:tabs>
          <w:tab w:val="num" w:pos="2160"/>
        </w:tabs>
        <w:ind w:left="2160" w:hanging="360"/>
      </w:pPr>
      <w:rPr>
        <w:rFonts w:ascii="Ericsson Hilda" w:hAnsi="Ericsson Hilda" w:hint="default"/>
      </w:rPr>
    </w:lvl>
    <w:lvl w:ilvl="3" w:tplc="A9246C86" w:tentative="1">
      <w:start w:val="1"/>
      <w:numFmt w:val="bullet"/>
      <w:lvlText w:val="●"/>
      <w:lvlJc w:val="left"/>
      <w:pPr>
        <w:tabs>
          <w:tab w:val="num" w:pos="2880"/>
        </w:tabs>
        <w:ind w:left="2880" w:hanging="360"/>
      </w:pPr>
      <w:rPr>
        <w:rFonts w:ascii="Ericsson Hilda" w:hAnsi="Ericsson Hilda" w:hint="default"/>
      </w:rPr>
    </w:lvl>
    <w:lvl w:ilvl="4" w:tplc="C35C4B48" w:tentative="1">
      <w:start w:val="1"/>
      <w:numFmt w:val="bullet"/>
      <w:lvlText w:val="●"/>
      <w:lvlJc w:val="left"/>
      <w:pPr>
        <w:tabs>
          <w:tab w:val="num" w:pos="3600"/>
        </w:tabs>
        <w:ind w:left="3600" w:hanging="360"/>
      </w:pPr>
      <w:rPr>
        <w:rFonts w:ascii="Ericsson Hilda" w:hAnsi="Ericsson Hilda" w:hint="default"/>
      </w:rPr>
    </w:lvl>
    <w:lvl w:ilvl="5" w:tplc="95124794" w:tentative="1">
      <w:start w:val="1"/>
      <w:numFmt w:val="bullet"/>
      <w:lvlText w:val="●"/>
      <w:lvlJc w:val="left"/>
      <w:pPr>
        <w:tabs>
          <w:tab w:val="num" w:pos="4320"/>
        </w:tabs>
        <w:ind w:left="4320" w:hanging="360"/>
      </w:pPr>
      <w:rPr>
        <w:rFonts w:ascii="Ericsson Hilda" w:hAnsi="Ericsson Hilda" w:hint="default"/>
      </w:rPr>
    </w:lvl>
    <w:lvl w:ilvl="6" w:tplc="86167024" w:tentative="1">
      <w:start w:val="1"/>
      <w:numFmt w:val="bullet"/>
      <w:lvlText w:val="●"/>
      <w:lvlJc w:val="left"/>
      <w:pPr>
        <w:tabs>
          <w:tab w:val="num" w:pos="5040"/>
        </w:tabs>
        <w:ind w:left="5040" w:hanging="360"/>
      </w:pPr>
      <w:rPr>
        <w:rFonts w:ascii="Ericsson Hilda" w:hAnsi="Ericsson Hilda" w:hint="default"/>
      </w:rPr>
    </w:lvl>
    <w:lvl w:ilvl="7" w:tplc="A430709A" w:tentative="1">
      <w:start w:val="1"/>
      <w:numFmt w:val="bullet"/>
      <w:lvlText w:val="●"/>
      <w:lvlJc w:val="left"/>
      <w:pPr>
        <w:tabs>
          <w:tab w:val="num" w:pos="5760"/>
        </w:tabs>
        <w:ind w:left="5760" w:hanging="360"/>
      </w:pPr>
      <w:rPr>
        <w:rFonts w:ascii="Ericsson Hilda" w:hAnsi="Ericsson Hilda" w:hint="default"/>
      </w:rPr>
    </w:lvl>
    <w:lvl w:ilvl="8" w:tplc="1DB4FB60" w:tentative="1">
      <w:start w:val="1"/>
      <w:numFmt w:val="bullet"/>
      <w:lvlText w:val="●"/>
      <w:lvlJc w:val="left"/>
      <w:pPr>
        <w:tabs>
          <w:tab w:val="num" w:pos="6480"/>
        </w:tabs>
        <w:ind w:left="6480" w:hanging="360"/>
      </w:pPr>
      <w:rPr>
        <w:rFonts w:ascii="Ericsson Hilda" w:hAnsi="Ericsson Hilda" w:hint="default"/>
      </w:rPr>
    </w:lvl>
  </w:abstractNum>
  <w:abstractNum w:abstractNumId="7" w15:restartNumberingAfterBreak="0">
    <w:nsid w:val="0F5B3D32"/>
    <w:multiLevelType w:val="hybridMultilevel"/>
    <w:tmpl w:val="078CC254"/>
    <w:lvl w:ilvl="0" w:tplc="6ABE8C54">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0320083"/>
    <w:multiLevelType w:val="hybridMultilevel"/>
    <w:tmpl w:val="A2DEA8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1546ECA"/>
    <w:multiLevelType w:val="hybridMultilevel"/>
    <w:tmpl w:val="12A0E1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43418"/>
    <w:multiLevelType w:val="hybridMultilevel"/>
    <w:tmpl w:val="570E4140"/>
    <w:lvl w:ilvl="0" w:tplc="9FAACCBE">
      <w:start w:val="1"/>
      <w:numFmt w:val="bullet"/>
      <w:lvlText w:val=""/>
      <w:lvlJc w:val="left"/>
      <w:pPr>
        <w:tabs>
          <w:tab w:val="num" w:pos="720"/>
        </w:tabs>
        <w:ind w:left="720" w:hanging="360"/>
      </w:pPr>
      <w:rPr>
        <w:rFonts w:ascii="Symbol" w:hAnsi="Symbol" w:hint="default"/>
      </w:rPr>
    </w:lvl>
    <w:lvl w:ilvl="1" w:tplc="2CD8D0E4">
      <w:numFmt w:val="bullet"/>
      <w:lvlText w:val="o"/>
      <w:lvlJc w:val="left"/>
      <w:pPr>
        <w:tabs>
          <w:tab w:val="num" w:pos="1440"/>
        </w:tabs>
        <w:ind w:left="1440" w:hanging="360"/>
      </w:pPr>
      <w:rPr>
        <w:rFonts w:ascii="Courier New" w:hAnsi="Courier New" w:hint="default"/>
      </w:rPr>
    </w:lvl>
    <w:lvl w:ilvl="2" w:tplc="40D45D56" w:tentative="1">
      <w:start w:val="1"/>
      <w:numFmt w:val="bullet"/>
      <w:lvlText w:val=""/>
      <w:lvlJc w:val="left"/>
      <w:pPr>
        <w:tabs>
          <w:tab w:val="num" w:pos="2160"/>
        </w:tabs>
        <w:ind w:left="2160" w:hanging="360"/>
      </w:pPr>
      <w:rPr>
        <w:rFonts w:ascii="Symbol" w:hAnsi="Symbol" w:hint="default"/>
      </w:rPr>
    </w:lvl>
    <w:lvl w:ilvl="3" w:tplc="05F02104" w:tentative="1">
      <w:start w:val="1"/>
      <w:numFmt w:val="bullet"/>
      <w:lvlText w:val=""/>
      <w:lvlJc w:val="left"/>
      <w:pPr>
        <w:tabs>
          <w:tab w:val="num" w:pos="2880"/>
        </w:tabs>
        <w:ind w:left="2880" w:hanging="360"/>
      </w:pPr>
      <w:rPr>
        <w:rFonts w:ascii="Symbol" w:hAnsi="Symbol" w:hint="default"/>
      </w:rPr>
    </w:lvl>
    <w:lvl w:ilvl="4" w:tplc="E5405EDE" w:tentative="1">
      <w:start w:val="1"/>
      <w:numFmt w:val="bullet"/>
      <w:lvlText w:val=""/>
      <w:lvlJc w:val="left"/>
      <w:pPr>
        <w:tabs>
          <w:tab w:val="num" w:pos="3600"/>
        </w:tabs>
        <w:ind w:left="3600" w:hanging="360"/>
      </w:pPr>
      <w:rPr>
        <w:rFonts w:ascii="Symbol" w:hAnsi="Symbol" w:hint="default"/>
      </w:rPr>
    </w:lvl>
    <w:lvl w:ilvl="5" w:tplc="C9D0CFA6" w:tentative="1">
      <w:start w:val="1"/>
      <w:numFmt w:val="bullet"/>
      <w:lvlText w:val=""/>
      <w:lvlJc w:val="left"/>
      <w:pPr>
        <w:tabs>
          <w:tab w:val="num" w:pos="4320"/>
        </w:tabs>
        <w:ind w:left="4320" w:hanging="360"/>
      </w:pPr>
      <w:rPr>
        <w:rFonts w:ascii="Symbol" w:hAnsi="Symbol" w:hint="default"/>
      </w:rPr>
    </w:lvl>
    <w:lvl w:ilvl="6" w:tplc="8FF6647C" w:tentative="1">
      <w:start w:val="1"/>
      <w:numFmt w:val="bullet"/>
      <w:lvlText w:val=""/>
      <w:lvlJc w:val="left"/>
      <w:pPr>
        <w:tabs>
          <w:tab w:val="num" w:pos="5040"/>
        </w:tabs>
        <w:ind w:left="5040" w:hanging="360"/>
      </w:pPr>
      <w:rPr>
        <w:rFonts w:ascii="Symbol" w:hAnsi="Symbol" w:hint="default"/>
      </w:rPr>
    </w:lvl>
    <w:lvl w:ilvl="7" w:tplc="81AABE42" w:tentative="1">
      <w:start w:val="1"/>
      <w:numFmt w:val="bullet"/>
      <w:lvlText w:val=""/>
      <w:lvlJc w:val="left"/>
      <w:pPr>
        <w:tabs>
          <w:tab w:val="num" w:pos="5760"/>
        </w:tabs>
        <w:ind w:left="5760" w:hanging="360"/>
      </w:pPr>
      <w:rPr>
        <w:rFonts w:ascii="Symbol" w:hAnsi="Symbol" w:hint="default"/>
      </w:rPr>
    </w:lvl>
    <w:lvl w:ilvl="8" w:tplc="A28AFE42"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171070F9"/>
    <w:multiLevelType w:val="hybridMultilevel"/>
    <w:tmpl w:val="B636C986"/>
    <w:lvl w:ilvl="0" w:tplc="987EBF36">
      <w:start w:val="1"/>
      <w:numFmt w:val="bullet"/>
      <w:lvlText w:val=""/>
      <w:lvlJc w:val="left"/>
      <w:pPr>
        <w:tabs>
          <w:tab w:val="num" w:pos="720"/>
        </w:tabs>
        <w:ind w:left="720" w:hanging="360"/>
      </w:pPr>
      <w:rPr>
        <w:rFonts w:ascii="Wingdings" w:hAnsi="Wingdings" w:hint="default"/>
      </w:rPr>
    </w:lvl>
    <w:lvl w:ilvl="1" w:tplc="1BBAFB68" w:tentative="1">
      <w:start w:val="1"/>
      <w:numFmt w:val="bullet"/>
      <w:lvlText w:val=""/>
      <w:lvlJc w:val="left"/>
      <w:pPr>
        <w:tabs>
          <w:tab w:val="num" w:pos="1440"/>
        </w:tabs>
        <w:ind w:left="1440" w:hanging="360"/>
      </w:pPr>
      <w:rPr>
        <w:rFonts w:ascii="Wingdings" w:hAnsi="Wingdings" w:hint="default"/>
      </w:rPr>
    </w:lvl>
    <w:lvl w:ilvl="2" w:tplc="4904B148" w:tentative="1">
      <w:start w:val="1"/>
      <w:numFmt w:val="bullet"/>
      <w:lvlText w:val=""/>
      <w:lvlJc w:val="left"/>
      <w:pPr>
        <w:tabs>
          <w:tab w:val="num" w:pos="2160"/>
        </w:tabs>
        <w:ind w:left="2160" w:hanging="360"/>
      </w:pPr>
      <w:rPr>
        <w:rFonts w:ascii="Wingdings" w:hAnsi="Wingdings" w:hint="default"/>
      </w:rPr>
    </w:lvl>
    <w:lvl w:ilvl="3" w:tplc="BE463E68" w:tentative="1">
      <w:start w:val="1"/>
      <w:numFmt w:val="bullet"/>
      <w:lvlText w:val=""/>
      <w:lvlJc w:val="left"/>
      <w:pPr>
        <w:tabs>
          <w:tab w:val="num" w:pos="2880"/>
        </w:tabs>
        <w:ind w:left="2880" w:hanging="360"/>
      </w:pPr>
      <w:rPr>
        <w:rFonts w:ascii="Wingdings" w:hAnsi="Wingdings" w:hint="default"/>
      </w:rPr>
    </w:lvl>
    <w:lvl w:ilvl="4" w:tplc="7846AD06" w:tentative="1">
      <w:start w:val="1"/>
      <w:numFmt w:val="bullet"/>
      <w:lvlText w:val=""/>
      <w:lvlJc w:val="left"/>
      <w:pPr>
        <w:tabs>
          <w:tab w:val="num" w:pos="3600"/>
        </w:tabs>
        <w:ind w:left="3600" w:hanging="360"/>
      </w:pPr>
      <w:rPr>
        <w:rFonts w:ascii="Wingdings" w:hAnsi="Wingdings" w:hint="default"/>
      </w:rPr>
    </w:lvl>
    <w:lvl w:ilvl="5" w:tplc="2F1A5DD8" w:tentative="1">
      <w:start w:val="1"/>
      <w:numFmt w:val="bullet"/>
      <w:lvlText w:val=""/>
      <w:lvlJc w:val="left"/>
      <w:pPr>
        <w:tabs>
          <w:tab w:val="num" w:pos="4320"/>
        </w:tabs>
        <w:ind w:left="4320" w:hanging="360"/>
      </w:pPr>
      <w:rPr>
        <w:rFonts w:ascii="Wingdings" w:hAnsi="Wingdings" w:hint="default"/>
      </w:rPr>
    </w:lvl>
    <w:lvl w:ilvl="6" w:tplc="B09CEBF8" w:tentative="1">
      <w:start w:val="1"/>
      <w:numFmt w:val="bullet"/>
      <w:lvlText w:val=""/>
      <w:lvlJc w:val="left"/>
      <w:pPr>
        <w:tabs>
          <w:tab w:val="num" w:pos="5040"/>
        </w:tabs>
        <w:ind w:left="5040" w:hanging="360"/>
      </w:pPr>
      <w:rPr>
        <w:rFonts w:ascii="Wingdings" w:hAnsi="Wingdings" w:hint="default"/>
      </w:rPr>
    </w:lvl>
    <w:lvl w:ilvl="7" w:tplc="1422AFF8" w:tentative="1">
      <w:start w:val="1"/>
      <w:numFmt w:val="bullet"/>
      <w:lvlText w:val=""/>
      <w:lvlJc w:val="left"/>
      <w:pPr>
        <w:tabs>
          <w:tab w:val="num" w:pos="5760"/>
        </w:tabs>
        <w:ind w:left="5760" w:hanging="360"/>
      </w:pPr>
      <w:rPr>
        <w:rFonts w:ascii="Wingdings" w:hAnsi="Wingdings" w:hint="default"/>
      </w:rPr>
    </w:lvl>
    <w:lvl w:ilvl="8" w:tplc="440035A6"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ACC32F0"/>
    <w:multiLevelType w:val="hybridMultilevel"/>
    <w:tmpl w:val="DABE32AC"/>
    <w:lvl w:ilvl="0" w:tplc="5D002B3A">
      <w:start w:val="1"/>
      <w:numFmt w:val="bullet"/>
      <w:lvlText w:val="●"/>
      <w:lvlJc w:val="left"/>
      <w:pPr>
        <w:tabs>
          <w:tab w:val="num" w:pos="720"/>
        </w:tabs>
        <w:ind w:left="720" w:hanging="360"/>
      </w:pPr>
      <w:rPr>
        <w:rFonts w:ascii="Ericsson Hilda" w:hAnsi="Ericsson Hilda" w:hint="default"/>
      </w:rPr>
    </w:lvl>
    <w:lvl w:ilvl="1" w:tplc="D7B495D6">
      <w:numFmt w:val="bullet"/>
      <w:lvlText w:val="●"/>
      <w:lvlJc w:val="left"/>
      <w:pPr>
        <w:tabs>
          <w:tab w:val="num" w:pos="1440"/>
        </w:tabs>
        <w:ind w:left="1440" w:hanging="360"/>
      </w:pPr>
      <w:rPr>
        <w:rFonts w:ascii="Ericsson Hilda" w:hAnsi="Ericsson Hilda" w:hint="default"/>
      </w:rPr>
    </w:lvl>
    <w:lvl w:ilvl="2" w:tplc="C36CABAC" w:tentative="1">
      <w:start w:val="1"/>
      <w:numFmt w:val="bullet"/>
      <w:lvlText w:val="●"/>
      <w:lvlJc w:val="left"/>
      <w:pPr>
        <w:tabs>
          <w:tab w:val="num" w:pos="2160"/>
        </w:tabs>
        <w:ind w:left="2160" w:hanging="360"/>
      </w:pPr>
      <w:rPr>
        <w:rFonts w:ascii="Ericsson Hilda" w:hAnsi="Ericsson Hilda" w:hint="default"/>
      </w:rPr>
    </w:lvl>
    <w:lvl w:ilvl="3" w:tplc="88688A9C" w:tentative="1">
      <w:start w:val="1"/>
      <w:numFmt w:val="bullet"/>
      <w:lvlText w:val="●"/>
      <w:lvlJc w:val="left"/>
      <w:pPr>
        <w:tabs>
          <w:tab w:val="num" w:pos="2880"/>
        </w:tabs>
        <w:ind w:left="2880" w:hanging="360"/>
      </w:pPr>
      <w:rPr>
        <w:rFonts w:ascii="Ericsson Hilda" w:hAnsi="Ericsson Hilda" w:hint="default"/>
      </w:rPr>
    </w:lvl>
    <w:lvl w:ilvl="4" w:tplc="2D9E6968" w:tentative="1">
      <w:start w:val="1"/>
      <w:numFmt w:val="bullet"/>
      <w:lvlText w:val="●"/>
      <w:lvlJc w:val="left"/>
      <w:pPr>
        <w:tabs>
          <w:tab w:val="num" w:pos="3600"/>
        </w:tabs>
        <w:ind w:left="3600" w:hanging="360"/>
      </w:pPr>
      <w:rPr>
        <w:rFonts w:ascii="Ericsson Hilda" w:hAnsi="Ericsson Hilda" w:hint="default"/>
      </w:rPr>
    </w:lvl>
    <w:lvl w:ilvl="5" w:tplc="20325FF6" w:tentative="1">
      <w:start w:val="1"/>
      <w:numFmt w:val="bullet"/>
      <w:lvlText w:val="●"/>
      <w:lvlJc w:val="left"/>
      <w:pPr>
        <w:tabs>
          <w:tab w:val="num" w:pos="4320"/>
        </w:tabs>
        <w:ind w:left="4320" w:hanging="360"/>
      </w:pPr>
      <w:rPr>
        <w:rFonts w:ascii="Ericsson Hilda" w:hAnsi="Ericsson Hilda" w:hint="default"/>
      </w:rPr>
    </w:lvl>
    <w:lvl w:ilvl="6" w:tplc="BAAE4382" w:tentative="1">
      <w:start w:val="1"/>
      <w:numFmt w:val="bullet"/>
      <w:lvlText w:val="●"/>
      <w:lvlJc w:val="left"/>
      <w:pPr>
        <w:tabs>
          <w:tab w:val="num" w:pos="5040"/>
        </w:tabs>
        <w:ind w:left="5040" w:hanging="360"/>
      </w:pPr>
      <w:rPr>
        <w:rFonts w:ascii="Ericsson Hilda" w:hAnsi="Ericsson Hilda" w:hint="default"/>
      </w:rPr>
    </w:lvl>
    <w:lvl w:ilvl="7" w:tplc="44363E6A" w:tentative="1">
      <w:start w:val="1"/>
      <w:numFmt w:val="bullet"/>
      <w:lvlText w:val="●"/>
      <w:lvlJc w:val="left"/>
      <w:pPr>
        <w:tabs>
          <w:tab w:val="num" w:pos="5760"/>
        </w:tabs>
        <w:ind w:left="5760" w:hanging="360"/>
      </w:pPr>
      <w:rPr>
        <w:rFonts w:ascii="Ericsson Hilda" w:hAnsi="Ericsson Hilda" w:hint="default"/>
      </w:rPr>
    </w:lvl>
    <w:lvl w:ilvl="8" w:tplc="D7A2E0A2" w:tentative="1">
      <w:start w:val="1"/>
      <w:numFmt w:val="bullet"/>
      <w:lvlText w:val="●"/>
      <w:lvlJc w:val="left"/>
      <w:pPr>
        <w:tabs>
          <w:tab w:val="num" w:pos="6480"/>
        </w:tabs>
        <w:ind w:left="6480" w:hanging="360"/>
      </w:pPr>
      <w:rPr>
        <w:rFonts w:ascii="Ericsson Hilda" w:hAnsi="Ericsson Hilda" w:hint="default"/>
      </w:rPr>
    </w:lvl>
  </w:abstractNum>
  <w:abstractNum w:abstractNumId="14" w15:restartNumberingAfterBreak="0">
    <w:nsid w:val="1D712F7D"/>
    <w:multiLevelType w:val="hybridMultilevel"/>
    <w:tmpl w:val="368E6722"/>
    <w:lvl w:ilvl="0" w:tplc="0E985C10">
      <w:start w:val="1"/>
      <w:numFmt w:val="bullet"/>
      <w:lvlText w:val=""/>
      <w:lvlJc w:val="left"/>
      <w:pPr>
        <w:tabs>
          <w:tab w:val="num" w:pos="720"/>
        </w:tabs>
        <w:ind w:left="720" w:hanging="360"/>
      </w:pPr>
      <w:rPr>
        <w:rFonts w:ascii="Symbol" w:hAnsi="Symbol" w:hint="default"/>
      </w:rPr>
    </w:lvl>
    <w:lvl w:ilvl="1" w:tplc="5F84E7A4">
      <w:numFmt w:val="bullet"/>
      <w:lvlText w:val="o"/>
      <w:lvlJc w:val="left"/>
      <w:pPr>
        <w:tabs>
          <w:tab w:val="num" w:pos="1440"/>
        </w:tabs>
        <w:ind w:left="1440" w:hanging="360"/>
      </w:pPr>
      <w:rPr>
        <w:rFonts w:ascii="Courier New" w:hAnsi="Courier New" w:hint="default"/>
      </w:rPr>
    </w:lvl>
    <w:lvl w:ilvl="2" w:tplc="03DC696E" w:tentative="1">
      <w:start w:val="1"/>
      <w:numFmt w:val="bullet"/>
      <w:lvlText w:val=""/>
      <w:lvlJc w:val="left"/>
      <w:pPr>
        <w:tabs>
          <w:tab w:val="num" w:pos="2160"/>
        </w:tabs>
        <w:ind w:left="2160" w:hanging="360"/>
      </w:pPr>
      <w:rPr>
        <w:rFonts w:ascii="Symbol" w:hAnsi="Symbol" w:hint="default"/>
      </w:rPr>
    </w:lvl>
    <w:lvl w:ilvl="3" w:tplc="42062EB8" w:tentative="1">
      <w:start w:val="1"/>
      <w:numFmt w:val="bullet"/>
      <w:lvlText w:val=""/>
      <w:lvlJc w:val="left"/>
      <w:pPr>
        <w:tabs>
          <w:tab w:val="num" w:pos="2880"/>
        </w:tabs>
        <w:ind w:left="2880" w:hanging="360"/>
      </w:pPr>
      <w:rPr>
        <w:rFonts w:ascii="Symbol" w:hAnsi="Symbol" w:hint="default"/>
      </w:rPr>
    </w:lvl>
    <w:lvl w:ilvl="4" w:tplc="9FA06D26" w:tentative="1">
      <w:start w:val="1"/>
      <w:numFmt w:val="bullet"/>
      <w:lvlText w:val=""/>
      <w:lvlJc w:val="left"/>
      <w:pPr>
        <w:tabs>
          <w:tab w:val="num" w:pos="3600"/>
        </w:tabs>
        <w:ind w:left="3600" w:hanging="360"/>
      </w:pPr>
      <w:rPr>
        <w:rFonts w:ascii="Symbol" w:hAnsi="Symbol" w:hint="default"/>
      </w:rPr>
    </w:lvl>
    <w:lvl w:ilvl="5" w:tplc="BCE04D76" w:tentative="1">
      <w:start w:val="1"/>
      <w:numFmt w:val="bullet"/>
      <w:lvlText w:val=""/>
      <w:lvlJc w:val="left"/>
      <w:pPr>
        <w:tabs>
          <w:tab w:val="num" w:pos="4320"/>
        </w:tabs>
        <w:ind w:left="4320" w:hanging="360"/>
      </w:pPr>
      <w:rPr>
        <w:rFonts w:ascii="Symbol" w:hAnsi="Symbol" w:hint="default"/>
      </w:rPr>
    </w:lvl>
    <w:lvl w:ilvl="6" w:tplc="2FEE1E48" w:tentative="1">
      <w:start w:val="1"/>
      <w:numFmt w:val="bullet"/>
      <w:lvlText w:val=""/>
      <w:lvlJc w:val="left"/>
      <w:pPr>
        <w:tabs>
          <w:tab w:val="num" w:pos="5040"/>
        </w:tabs>
        <w:ind w:left="5040" w:hanging="360"/>
      </w:pPr>
      <w:rPr>
        <w:rFonts w:ascii="Symbol" w:hAnsi="Symbol" w:hint="default"/>
      </w:rPr>
    </w:lvl>
    <w:lvl w:ilvl="7" w:tplc="0B7629AA" w:tentative="1">
      <w:start w:val="1"/>
      <w:numFmt w:val="bullet"/>
      <w:lvlText w:val=""/>
      <w:lvlJc w:val="left"/>
      <w:pPr>
        <w:tabs>
          <w:tab w:val="num" w:pos="5760"/>
        </w:tabs>
        <w:ind w:left="5760" w:hanging="360"/>
      </w:pPr>
      <w:rPr>
        <w:rFonts w:ascii="Symbol" w:hAnsi="Symbol" w:hint="default"/>
      </w:rPr>
    </w:lvl>
    <w:lvl w:ilvl="8" w:tplc="D6784882" w:tentative="1">
      <w:start w:val="1"/>
      <w:numFmt w:val="bullet"/>
      <w:lvlText w:val=""/>
      <w:lvlJc w:val="left"/>
      <w:pPr>
        <w:tabs>
          <w:tab w:val="num" w:pos="6480"/>
        </w:tabs>
        <w:ind w:left="6480" w:hanging="360"/>
      </w:pPr>
      <w:rPr>
        <w:rFonts w:ascii="Symbol" w:hAnsi="Symbol" w:hint="default"/>
      </w:rPr>
    </w:lvl>
  </w:abstractNum>
  <w:abstractNum w:abstractNumId="15" w15:restartNumberingAfterBreak="0">
    <w:nsid w:val="1E056B24"/>
    <w:multiLevelType w:val="hybridMultilevel"/>
    <w:tmpl w:val="1534B0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1D7C83"/>
    <w:multiLevelType w:val="hybridMultilevel"/>
    <w:tmpl w:val="FD22AB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0C1353"/>
    <w:multiLevelType w:val="hybridMultilevel"/>
    <w:tmpl w:val="40B4B30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9" w15:restartNumberingAfterBreak="0">
    <w:nsid w:val="21B128C8"/>
    <w:multiLevelType w:val="hybridMultilevel"/>
    <w:tmpl w:val="77B2619A"/>
    <w:lvl w:ilvl="0" w:tplc="C80C0728">
      <w:start w:val="1"/>
      <w:numFmt w:val="bullet"/>
      <w:lvlText w:val="●"/>
      <w:lvlJc w:val="left"/>
      <w:pPr>
        <w:tabs>
          <w:tab w:val="num" w:pos="720"/>
        </w:tabs>
        <w:ind w:left="720" w:hanging="360"/>
      </w:pPr>
      <w:rPr>
        <w:rFonts w:ascii="Ericsson Hilda" w:hAnsi="Ericsson Hilda" w:hint="default"/>
      </w:rPr>
    </w:lvl>
    <w:lvl w:ilvl="1" w:tplc="D28CBE4E" w:tentative="1">
      <w:start w:val="1"/>
      <w:numFmt w:val="bullet"/>
      <w:lvlText w:val="●"/>
      <w:lvlJc w:val="left"/>
      <w:pPr>
        <w:tabs>
          <w:tab w:val="num" w:pos="1440"/>
        </w:tabs>
        <w:ind w:left="1440" w:hanging="360"/>
      </w:pPr>
      <w:rPr>
        <w:rFonts w:ascii="Ericsson Hilda" w:hAnsi="Ericsson Hilda" w:hint="default"/>
      </w:rPr>
    </w:lvl>
    <w:lvl w:ilvl="2" w:tplc="498274D0" w:tentative="1">
      <w:start w:val="1"/>
      <w:numFmt w:val="bullet"/>
      <w:lvlText w:val="●"/>
      <w:lvlJc w:val="left"/>
      <w:pPr>
        <w:tabs>
          <w:tab w:val="num" w:pos="2160"/>
        </w:tabs>
        <w:ind w:left="2160" w:hanging="360"/>
      </w:pPr>
      <w:rPr>
        <w:rFonts w:ascii="Ericsson Hilda" w:hAnsi="Ericsson Hilda" w:hint="default"/>
      </w:rPr>
    </w:lvl>
    <w:lvl w:ilvl="3" w:tplc="CC9E7CA2" w:tentative="1">
      <w:start w:val="1"/>
      <w:numFmt w:val="bullet"/>
      <w:lvlText w:val="●"/>
      <w:lvlJc w:val="left"/>
      <w:pPr>
        <w:tabs>
          <w:tab w:val="num" w:pos="2880"/>
        </w:tabs>
        <w:ind w:left="2880" w:hanging="360"/>
      </w:pPr>
      <w:rPr>
        <w:rFonts w:ascii="Ericsson Hilda" w:hAnsi="Ericsson Hilda" w:hint="default"/>
      </w:rPr>
    </w:lvl>
    <w:lvl w:ilvl="4" w:tplc="B3CAE2EC" w:tentative="1">
      <w:start w:val="1"/>
      <w:numFmt w:val="bullet"/>
      <w:lvlText w:val="●"/>
      <w:lvlJc w:val="left"/>
      <w:pPr>
        <w:tabs>
          <w:tab w:val="num" w:pos="3600"/>
        </w:tabs>
        <w:ind w:left="3600" w:hanging="360"/>
      </w:pPr>
      <w:rPr>
        <w:rFonts w:ascii="Ericsson Hilda" w:hAnsi="Ericsson Hilda" w:hint="default"/>
      </w:rPr>
    </w:lvl>
    <w:lvl w:ilvl="5" w:tplc="38C65ABA" w:tentative="1">
      <w:start w:val="1"/>
      <w:numFmt w:val="bullet"/>
      <w:lvlText w:val="●"/>
      <w:lvlJc w:val="left"/>
      <w:pPr>
        <w:tabs>
          <w:tab w:val="num" w:pos="4320"/>
        </w:tabs>
        <w:ind w:left="4320" w:hanging="360"/>
      </w:pPr>
      <w:rPr>
        <w:rFonts w:ascii="Ericsson Hilda" w:hAnsi="Ericsson Hilda" w:hint="default"/>
      </w:rPr>
    </w:lvl>
    <w:lvl w:ilvl="6" w:tplc="F01631B0" w:tentative="1">
      <w:start w:val="1"/>
      <w:numFmt w:val="bullet"/>
      <w:lvlText w:val="●"/>
      <w:lvlJc w:val="left"/>
      <w:pPr>
        <w:tabs>
          <w:tab w:val="num" w:pos="5040"/>
        </w:tabs>
        <w:ind w:left="5040" w:hanging="360"/>
      </w:pPr>
      <w:rPr>
        <w:rFonts w:ascii="Ericsson Hilda" w:hAnsi="Ericsson Hilda" w:hint="default"/>
      </w:rPr>
    </w:lvl>
    <w:lvl w:ilvl="7" w:tplc="B31CB0F8" w:tentative="1">
      <w:start w:val="1"/>
      <w:numFmt w:val="bullet"/>
      <w:lvlText w:val="●"/>
      <w:lvlJc w:val="left"/>
      <w:pPr>
        <w:tabs>
          <w:tab w:val="num" w:pos="5760"/>
        </w:tabs>
        <w:ind w:left="5760" w:hanging="360"/>
      </w:pPr>
      <w:rPr>
        <w:rFonts w:ascii="Ericsson Hilda" w:hAnsi="Ericsson Hilda" w:hint="default"/>
      </w:rPr>
    </w:lvl>
    <w:lvl w:ilvl="8" w:tplc="95EC16A0" w:tentative="1">
      <w:start w:val="1"/>
      <w:numFmt w:val="bullet"/>
      <w:lvlText w:val="●"/>
      <w:lvlJc w:val="left"/>
      <w:pPr>
        <w:tabs>
          <w:tab w:val="num" w:pos="6480"/>
        </w:tabs>
        <w:ind w:left="6480" w:hanging="360"/>
      </w:pPr>
      <w:rPr>
        <w:rFonts w:ascii="Ericsson Hilda" w:hAnsi="Ericsson Hilda" w:hint="default"/>
      </w:rPr>
    </w:lvl>
  </w:abstractNum>
  <w:abstractNum w:abstractNumId="20" w15:restartNumberingAfterBreak="0">
    <w:nsid w:val="22246907"/>
    <w:multiLevelType w:val="hybridMultilevel"/>
    <w:tmpl w:val="15EEB066"/>
    <w:lvl w:ilvl="0" w:tplc="B956A2E4">
      <w:start w:val="1"/>
      <w:numFmt w:val="bullet"/>
      <w:lvlText w:val=""/>
      <w:lvlJc w:val="left"/>
      <w:pPr>
        <w:tabs>
          <w:tab w:val="num" w:pos="720"/>
        </w:tabs>
        <w:ind w:left="720" w:hanging="360"/>
      </w:pPr>
      <w:rPr>
        <w:rFonts w:ascii="Symbol" w:hAnsi="Symbol" w:hint="default"/>
      </w:rPr>
    </w:lvl>
    <w:lvl w:ilvl="1" w:tplc="AECA2742" w:tentative="1">
      <w:start w:val="1"/>
      <w:numFmt w:val="bullet"/>
      <w:lvlText w:val=""/>
      <w:lvlJc w:val="left"/>
      <w:pPr>
        <w:tabs>
          <w:tab w:val="num" w:pos="1440"/>
        </w:tabs>
        <w:ind w:left="1440" w:hanging="360"/>
      </w:pPr>
      <w:rPr>
        <w:rFonts w:ascii="Symbol" w:hAnsi="Symbol" w:hint="default"/>
      </w:rPr>
    </w:lvl>
    <w:lvl w:ilvl="2" w:tplc="5E3C8D1A" w:tentative="1">
      <w:start w:val="1"/>
      <w:numFmt w:val="bullet"/>
      <w:lvlText w:val=""/>
      <w:lvlJc w:val="left"/>
      <w:pPr>
        <w:tabs>
          <w:tab w:val="num" w:pos="2160"/>
        </w:tabs>
        <w:ind w:left="2160" w:hanging="360"/>
      </w:pPr>
      <w:rPr>
        <w:rFonts w:ascii="Symbol" w:hAnsi="Symbol" w:hint="default"/>
      </w:rPr>
    </w:lvl>
    <w:lvl w:ilvl="3" w:tplc="BE7E5BBA" w:tentative="1">
      <w:start w:val="1"/>
      <w:numFmt w:val="bullet"/>
      <w:lvlText w:val=""/>
      <w:lvlJc w:val="left"/>
      <w:pPr>
        <w:tabs>
          <w:tab w:val="num" w:pos="2880"/>
        </w:tabs>
        <w:ind w:left="2880" w:hanging="360"/>
      </w:pPr>
      <w:rPr>
        <w:rFonts w:ascii="Symbol" w:hAnsi="Symbol" w:hint="default"/>
      </w:rPr>
    </w:lvl>
    <w:lvl w:ilvl="4" w:tplc="415CD704" w:tentative="1">
      <w:start w:val="1"/>
      <w:numFmt w:val="bullet"/>
      <w:lvlText w:val=""/>
      <w:lvlJc w:val="left"/>
      <w:pPr>
        <w:tabs>
          <w:tab w:val="num" w:pos="3600"/>
        </w:tabs>
        <w:ind w:left="3600" w:hanging="360"/>
      </w:pPr>
      <w:rPr>
        <w:rFonts w:ascii="Symbol" w:hAnsi="Symbol" w:hint="default"/>
      </w:rPr>
    </w:lvl>
    <w:lvl w:ilvl="5" w:tplc="62C8F930" w:tentative="1">
      <w:start w:val="1"/>
      <w:numFmt w:val="bullet"/>
      <w:lvlText w:val=""/>
      <w:lvlJc w:val="left"/>
      <w:pPr>
        <w:tabs>
          <w:tab w:val="num" w:pos="4320"/>
        </w:tabs>
        <w:ind w:left="4320" w:hanging="360"/>
      </w:pPr>
      <w:rPr>
        <w:rFonts w:ascii="Symbol" w:hAnsi="Symbol" w:hint="default"/>
      </w:rPr>
    </w:lvl>
    <w:lvl w:ilvl="6" w:tplc="2D96240A" w:tentative="1">
      <w:start w:val="1"/>
      <w:numFmt w:val="bullet"/>
      <w:lvlText w:val=""/>
      <w:lvlJc w:val="left"/>
      <w:pPr>
        <w:tabs>
          <w:tab w:val="num" w:pos="5040"/>
        </w:tabs>
        <w:ind w:left="5040" w:hanging="360"/>
      </w:pPr>
      <w:rPr>
        <w:rFonts w:ascii="Symbol" w:hAnsi="Symbol" w:hint="default"/>
      </w:rPr>
    </w:lvl>
    <w:lvl w:ilvl="7" w:tplc="D6A05428" w:tentative="1">
      <w:start w:val="1"/>
      <w:numFmt w:val="bullet"/>
      <w:lvlText w:val=""/>
      <w:lvlJc w:val="left"/>
      <w:pPr>
        <w:tabs>
          <w:tab w:val="num" w:pos="5760"/>
        </w:tabs>
        <w:ind w:left="5760" w:hanging="360"/>
      </w:pPr>
      <w:rPr>
        <w:rFonts w:ascii="Symbol" w:hAnsi="Symbol" w:hint="default"/>
      </w:rPr>
    </w:lvl>
    <w:lvl w:ilvl="8" w:tplc="E304D460"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23995D30"/>
    <w:multiLevelType w:val="hybridMultilevel"/>
    <w:tmpl w:val="068A51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4285ADC"/>
    <w:multiLevelType w:val="hybridMultilevel"/>
    <w:tmpl w:val="617A25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9848C5"/>
    <w:multiLevelType w:val="hybridMultilevel"/>
    <w:tmpl w:val="48F66C64"/>
    <w:lvl w:ilvl="0" w:tplc="CE3A03BA">
      <w:start w:val="1"/>
      <w:numFmt w:val="lowerLetter"/>
      <w:lvlText w:val="(%1)"/>
      <w:lvlJc w:val="left"/>
      <w:pPr>
        <w:ind w:left="3210" w:hanging="360"/>
      </w:pPr>
      <w:rPr>
        <w:rFonts w:hint="default"/>
      </w:rPr>
    </w:lvl>
    <w:lvl w:ilvl="1" w:tplc="04090019" w:tentative="1">
      <w:start w:val="1"/>
      <w:numFmt w:val="lowerLetter"/>
      <w:lvlText w:val="%2."/>
      <w:lvlJc w:val="left"/>
      <w:pPr>
        <w:ind w:left="3930" w:hanging="360"/>
      </w:pPr>
    </w:lvl>
    <w:lvl w:ilvl="2" w:tplc="0409001B" w:tentative="1">
      <w:start w:val="1"/>
      <w:numFmt w:val="lowerRoman"/>
      <w:lvlText w:val="%3."/>
      <w:lvlJc w:val="right"/>
      <w:pPr>
        <w:ind w:left="4650" w:hanging="180"/>
      </w:pPr>
    </w:lvl>
    <w:lvl w:ilvl="3" w:tplc="0409000F" w:tentative="1">
      <w:start w:val="1"/>
      <w:numFmt w:val="decimal"/>
      <w:lvlText w:val="%4."/>
      <w:lvlJc w:val="left"/>
      <w:pPr>
        <w:ind w:left="5370" w:hanging="360"/>
      </w:pPr>
    </w:lvl>
    <w:lvl w:ilvl="4" w:tplc="04090019" w:tentative="1">
      <w:start w:val="1"/>
      <w:numFmt w:val="lowerLetter"/>
      <w:lvlText w:val="%5."/>
      <w:lvlJc w:val="left"/>
      <w:pPr>
        <w:ind w:left="6090" w:hanging="360"/>
      </w:pPr>
    </w:lvl>
    <w:lvl w:ilvl="5" w:tplc="0409001B" w:tentative="1">
      <w:start w:val="1"/>
      <w:numFmt w:val="lowerRoman"/>
      <w:lvlText w:val="%6."/>
      <w:lvlJc w:val="right"/>
      <w:pPr>
        <w:ind w:left="6810" w:hanging="180"/>
      </w:pPr>
    </w:lvl>
    <w:lvl w:ilvl="6" w:tplc="0409000F" w:tentative="1">
      <w:start w:val="1"/>
      <w:numFmt w:val="decimal"/>
      <w:lvlText w:val="%7."/>
      <w:lvlJc w:val="left"/>
      <w:pPr>
        <w:ind w:left="7530" w:hanging="360"/>
      </w:pPr>
    </w:lvl>
    <w:lvl w:ilvl="7" w:tplc="04090019" w:tentative="1">
      <w:start w:val="1"/>
      <w:numFmt w:val="lowerLetter"/>
      <w:lvlText w:val="%8."/>
      <w:lvlJc w:val="left"/>
      <w:pPr>
        <w:ind w:left="8250" w:hanging="360"/>
      </w:pPr>
    </w:lvl>
    <w:lvl w:ilvl="8" w:tplc="0409001B" w:tentative="1">
      <w:start w:val="1"/>
      <w:numFmt w:val="lowerRoman"/>
      <w:lvlText w:val="%9."/>
      <w:lvlJc w:val="right"/>
      <w:pPr>
        <w:ind w:left="8970" w:hanging="180"/>
      </w:pPr>
    </w:lvl>
  </w:abstractNum>
  <w:abstractNum w:abstractNumId="24" w15:restartNumberingAfterBreak="0">
    <w:nsid w:val="26E60695"/>
    <w:multiLevelType w:val="hybridMultilevel"/>
    <w:tmpl w:val="8966B4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727504D"/>
    <w:multiLevelType w:val="hybridMultilevel"/>
    <w:tmpl w:val="CFE4D416"/>
    <w:lvl w:ilvl="0" w:tplc="2FCAE5BA">
      <w:start w:val="1"/>
      <w:numFmt w:val="lowerLetter"/>
      <w:lvlText w:val="(%1)"/>
      <w:lvlJc w:val="left"/>
      <w:pPr>
        <w:ind w:left="2415" w:hanging="360"/>
      </w:pPr>
      <w:rPr>
        <w:rFonts w:hint="default"/>
      </w:rPr>
    </w:lvl>
    <w:lvl w:ilvl="1" w:tplc="04090019" w:tentative="1">
      <w:start w:val="1"/>
      <w:numFmt w:val="lowerLetter"/>
      <w:lvlText w:val="%2."/>
      <w:lvlJc w:val="left"/>
      <w:pPr>
        <w:ind w:left="3135" w:hanging="360"/>
      </w:pPr>
    </w:lvl>
    <w:lvl w:ilvl="2" w:tplc="0409001B" w:tentative="1">
      <w:start w:val="1"/>
      <w:numFmt w:val="lowerRoman"/>
      <w:lvlText w:val="%3."/>
      <w:lvlJc w:val="right"/>
      <w:pPr>
        <w:ind w:left="3855" w:hanging="180"/>
      </w:pPr>
    </w:lvl>
    <w:lvl w:ilvl="3" w:tplc="0409000F" w:tentative="1">
      <w:start w:val="1"/>
      <w:numFmt w:val="decimal"/>
      <w:lvlText w:val="%4."/>
      <w:lvlJc w:val="left"/>
      <w:pPr>
        <w:ind w:left="4575" w:hanging="360"/>
      </w:pPr>
    </w:lvl>
    <w:lvl w:ilvl="4" w:tplc="04090019" w:tentative="1">
      <w:start w:val="1"/>
      <w:numFmt w:val="lowerLetter"/>
      <w:lvlText w:val="%5."/>
      <w:lvlJc w:val="left"/>
      <w:pPr>
        <w:ind w:left="5295" w:hanging="360"/>
      </w:pPr>
    </w:lvl>
    <w:lvl w:ilvl="5" w:tplc="0409001B" w:tentative="1">
      <w:start w:val="1"/>
      <w:numFmt w:val="lowerRoman"/>
      <w:lvlText w:val="%6."/>
      <w:lvlJc w:val="right"/>
      <w:pPr>
        <w:ind w:left="6015" w:hanging="180"/>
      </w:pPr>
    </w:lvl>
    <w:lvl w:ilvl="6" w:tplc="0409000F" w:tentative="1">
      <w:start w:val="1"/>
      <w:numFmt w:val="decimal"/>
      <w:lvlText w:val="%7."/>
      <w:lvlJc w:val="left"/>
      <w:pPr>
        <w:ind w:left="6735" w:hanging="360"/>
      </w:pPr>
    </w:lvl>
    <w:lvl w:ilvl="7" w:tplc="04090019" w:tentative="1">
      <w:start w:val="1"/>
      <w:numFmt w:val="lowerLetter"/>
      <w:lvlText w:val="%8."/>
      <w:lvlJc w:val="left"/>
      <w:pPr>
        <w:ind w:left="7455" w:hanging="360"/>
      </w:pPr>
    </w:lvl>
    <w:lvl w:ilvl="8" w:tplc="0409001B" w:tentative="1">
      <w:start w:val="1"/>
      <w:numFmt w:val="lowerRoman"/>
      <w:lvlText w:val="%9."/>
      <w:lvlJc w:val="right"/>
      <w:pPr>
        <w:ind w:left="8175" w:hanging="180"/>
      </w:pPr>
    </w:lvl>
  </w:abstractNum>
  <w:abstractNum w:abstractNumId="26"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7" w15:restartNumberingAfterBreak="0">
    <w:nsid w:val="2785608C"/>
    <w:multiLevelType w:val="hybridMultilevel"/>
    <w:tmpl w:val="D03AE4B8"/>
    <w:lvl w:ilvl="0" w:tplc="3208CA6A">
      <w:start w:val="1"/>
      <w:numFmt w:val="lowerLetter"/>
      <w:lvlText w:val="(%1)"/>
      <w:lvlJc w:val="left"/>
      <w:pPr>
        <w:ind w:left="6720" w:hanging="4680"/>
      </w:pPr>
      <w:rPr>
        <w:rFonts w:hint="default"/>
      </w:rPr>
    </w:lvl>
    <w:lvl w:ilvl="1" w:tplc="04090019" w:tentative="1">
      <w:start w:val="1"/>
      <w:numFmt w:val="lowerLetter"/>
      <w:lvlText w:val="%2."/>
      <w:lvlJc w:val="left"/>
      <w:pPr>
        <w:ind w:left="3120" w:hanging="360"/>
      </w:pPr>
    </w:lvl>
    <w:lvl w:ilvl="2" w:tplc="0409001B" w:tentative="1">
      <w:start w:val="1"/>
      <w:numFmt w:val="lowerRoman"/>
      <w:lvlText w:val="%3."/>
      <w:lvlJc w:val="right"/>
      <w:pPr>
        <w:ind w:left="3840" w:hanging="180"/>
      </w:pPr>
    </w:lvl>
    <w:lvl w:ilvl="3" w:tplc="0409000F" w:tentative="1">
      <w:start w:val="1"/>
      <w:numFmt w:val="decimal"/>
      <w:lvlText w:val="%4."/>
      <w:lvlJc w:val="left"/>
      <w:pPr>
        <w:ind w:left="4560" w:hanging="360"/>
      </w:pPr>
    </w:lvl>
    <w:lvl w:ilvl="4" w:tplc="04090019" w:tentative="1">
      <w:start w:val="1"/>
      <w:numFmt w:val="lowerLetter"/>
      <w:lvlText w:val="%5."/>
      <w:lvlJc w:val="left"/>
      <w:pPr>
        <w:ind w:left="5280" w:hanging="360"/>
      </w:pPr>
    </w:lvl>
    <w:lvl w:ilvl="5" w:tplc="0409001B" w:tentative="1">
      <w:start w:val="1"/>
      <w:numFmt w:val="lowerRoman"/>
      <w:lvlText w:val="%6."/>
      <w:lvlJc w:val="right"/>
      <w:pPr>
        <w:ind w:left="6000" w:hanging="180"/>
      </w:pPr>
    </w:lvl>
    <w:lvl w:ilvl="6" w:tplc="0409000F" w:tentative="1">
      <w:start w:val="1"/>
      <w:numFmt w:val="decimal"/>
      <w:lvlText w:val="%7."/>
      <w:lvlJc w:val="left"/>
      <w:pPr>
        <w:ind w:left="6720" w:hanging="360"/>
      </w:pPr>
    </w:lvl>
    <w:lvl w:ilvl="7" w:tplc="04090019" w:tentative="1">
      <w:start w:val="1"/>
      <w:numFmt w:val="lowerLetter"/>
      <w:lvlText w:val="%8."/>
      <w:lvlJc w:val="left"/>
      <w:pPr>
        <w:ind w:left="7440" w:hanging="360"/>
      </w:pPr>
    </w:lvl>
    <w:lvl w:ilvl="8" w:tplc="0409001B" w:tentative="1">
      <w:start w:val="1"/>
      <w:numFmt w:val="lowerRoman"/>
      <w:lvlText w:val="%9."/>
      <w:lvlJc w:val="right"/>
      <w:pPr>
        <w:ind w:left="8160" w:hanging="180"/>
      </w:pPr>
    </w:lvl>
  </w:abstractNum>
  <w:abstractNum w:abstractNumId="28" w15:restartNumberingAfterBreak="0">
    <w:nsid w:val="283D7845"/>
    <w:multiLevelType w:val="hybridMultilevel"/>
    <w:tmpl w:val="104C8F5A"/>
    <w:lvl w:ilvl="0" w:tplc="04090001">
      <w:start w:val="3"/>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9BC3D14"/>
    <w:multiLevelType w:val="hybridMultilevel"/>
    <w:tmpl w:val="BD6C8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BAE68C4"/>
    <w:multiLevelType w:val="hybridMultilevel"/>
    <w:tmpl w:val="DFA43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D595FBB"/>
    <w:multiLevelType w:val="hybridMultilevel"/>
    <w:tmpl w:val="C01A1C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DAF3E3C"/>
    <w:multiLevelType w:val="hybridMultilevel"/>
    <w:tmpl w:val="799007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17A5268"/>
    <w:multiLevelType w:val="hybridMultilevel"/>
    <w:tmpl w:val="580AE1B6"/>
    <w:lvl w:ilvl="0" w:tplc="BC70A9D8">
      <w:start w:val="1"/>
      <w:numFmt w:val="bullet"/>
      <w:lvlText w:val=""/>
      <w:lvlJc w:val="left"/>
      <w:pPr>
        <w:tabs>
          <w:tab w:val="num" w:pos="720"/>
        </w:tabs>
        <w:ind w:left="720" w:hanging="360"/>
      </w:pPr>
      <w:rPr>
        <w:rFonts w:ascii="Symbol" w:hAnsi="Symbol" w:hint="default"/>
      </w:rPr>
    </w:lvl>
    <w:lvl w:ilvl="1" w:tplc="658AF50C">
      <w:numFmt w:val="bullet"/>
      <w:lvlText w:val="o"/>
      <w:lvlJc w:val="left"/>
      <w:pPr>
        <w:tabs>
          <w:tab w:val="num" w:pos="1440"/>
        </w:tabs>
        <w:ind w:left="1440" w:hanging="360"/>
      </w:pPr>
      <w:rPr>
        <w:rFonts w:ascii="Courier New" w:hAnsi="Courier New" w:hint="default"/>
      </w:rPr>
    </w:lvl>
    <w:lvl w:ilvl="2" w:tplc="561864D8" w:tentative="1">
      <w:start w:val="1"/>
      <w:numFmt w:val="bullet"/>
      <w:lvlText w:val=""/>
      <w:lvlJc w:val="left"/>
      <w:pPr>
        <w:tabs>
          <w:tab w:val="num" w:pos="2160"/>
        </w:tabs>
        <w:ind w:left="2160" w:hanging="360"/>
      </w:pPr>
      <w:rPr>
        <w:rFonts w:ascii="Symbol" w:hAnsi="Symbol" w:hint="default"/>
      </w:rPr>
    </w:lvl>
    <w:lvl w:ilvl="3" w:tplc="07B4EA4C" w:tentative="1">
      <w:start w:val="1"/>
      <w:numFmt w:val="bullet"/>
      <w:lvlText w:val=""/>
      <w:lvlJc w:val="left"/>
      <w:pPr>
        <w:tabs>
          <w:tab w:val="num" w:pos="2880"/>
        </w:tabs>
        <w:ind w:left="2880" w:hanging="360"/>
      </w:pPr>
      <w:rPr>
        <w:rFonts w:ascii="Symbol" w:hAnsi="Symbol" w:hint="default"/>
      </w:rPr>
    </w:lvl>
    <w:lvl w:ilvl="4" w:tplc="143CB436" w:tentative="1">
      <w:start w:val="1"/>
      <w:numFmt w:val="bullet"/>
      <w:lvlText w:val=""/>
      <w:lvlJc w:val="left"/>
      <w:pPr>
        <w:tabs>
          <w:tab w:val="num" w:pos="3600"/>
        </w:tabs>
        <w:ind w:left="3600" w:hanging="360"/>
      </w:pPr>
      <w:rPr>
        <w:rFonts w:ascii="Symbol" w:hAnsi="Symbol" w:hint="default"/>
      </w:rPr>
    </w:lvl>
    <w:lvl w:ilvl="5" w:tplc="0DE0C222" w:tentative="1">
      <w:start w:val="1"/>
      <w:numFmt w:val="bullet"/>
      <w:lvlText w:val=""/>
      <w:lvlJc w:val="left"/>
      <w:pPr>
        <w:tabs>
          <w:tab w:val="num" w:pos="4320"/>
        </w:tabs>
        <w:ind w:left="4320" w:hanging="360"/>
      </w:pPr>
      <w:rPr>
        <w:rFonts w:ascii="Symbol" w:hAnsi="Symbol" w:hint="default"/>
      </w:rPr>
    </w:lvl>
    <w:lvl w:ilvl="6" w:tplc="0F0A4FE2" w:tentative="1">
      <w:start w:val="1"/>
      <w:numFmt w:val="bullet"/>
      <w:lvlText w:val=""/>
      <w:lvlJc w:val="left"/>
      <w:pPr>
        <w:tabs>
          <w:tab w:val="num" w:pos="5040"/>
        </w:tabs>
        <w:ind w:left="5040" w:hanging="360"/>
      </w:pPr>
      <w:rPr>
        <w:rFonts w:ascii="Symbol" w:hAnsi="Symbol" w:hint="default"/>
      </w:rPr>
    </w:lvl>
    <w:lvl w:ilvl="7" w:tplc="FFECC6A0" w:tentative="1">
      <w:start w:val="1"/>
      <w:numFmt w:val="bullet"/>
      <w:lvlText w:val=""/>
      <w:lvlJc w:val="left"/>
      <w:pPr>
        <w:tabs>
          <w:tab w:val="num" w:pos="5760"/>
        </w:tabs>
        <w:ind w:left="5760" w:hanging="360"/>
      </w:pPr>
      <w:rPr>
        <w:rFonts w:ascii="Symbol" w:hAnsi="Symbol" w:hint="default"/>
      </w:rPr>
    </w:lvl>
    <w:lvl w:ilvl="8" w:tplc="59DA62A4" w:tentative="1">
      <w:start w:val="1"/>
      <w:numFmt w:val="bullet"/>
      <w:lvlText w:val=""/>
      <w:lvlJc w:val="left"/>
      <w:pPr>
        <w:tabs>
          <w:tab w:val="num" w:pos="6480"/>
        </w:tabs>
        <w:ind w:left="6480" w:hanging="360"/>
      </w:pPr>
      <w:rPr>
        <w:rFonts w:ascii="Symbol" w:hAnsi="Symbol" w:hint="default"/>
      </w:rPr>
    </w:lvl>
  </w:abstractNum>
  <w:abstractNum w:abstractNumId="34" w15:restartNumberingAfterBreak="0">
    <w:nsid w:val="31D906EF"/>
    <w:multiLevelType w:val="hybridMultilevel"/>
    <w:tmpl w:val="826860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248417F"/>
    <w:multiLevelType w:val="hybridMultilevel"/>
    <w:tmpl w:val="38521982"/>
    <w:lvl w:ilvl="0" w:tplc="D10086B4">
      <w:start w:val="1"/>
      <w:numFmt w:val="lowerLetter"/>
      <w:lvlText w:val="(%1)"/>
      <w:lvlJc w:val="left"/>
      <w:pPr>
        <w:ind w:left="6630" w:hanging="3870"/>
      </w:pPr>
      <w:rPr>
        <w:rFonts w:hint="default"/>
      </w:rPr>
    </w:lvl>
    <w:lvl w:ilvl="1" w:tplc="04090019" w:tentative="1">
      <w:start w:val="1"/>
      <w:numFmt w:val="lowerLetter"/>
      <w:lvlText w:val="%2."/>
      <w:lvlJc w:val="left"/>
      <w:pPr>
        <w:ind w:left="3840" w:hanging="360"/>
      </w:pPr>
    </w:lvl>
    <w:lvl w:ilvl="2" w:tplc="0409001B" w:tentative="1">
      <w:start w:val="1"/>
      <w:numFmt w:val="lowerRoman"/>
      <w:lvlText w:val="%3."/>
      <w:lvlJc w:val="right"/>
      <w:pPr>
        <w:ind w:left="4560" w:hanging="180"/>
      </w:pPr>
    </w:lvl>
    <w:lvl w:ilvl="3" w:tplc="0409000F" w:tentative="1">
      <w:start w:val="1"/>
      <w:numFmt w:val="decimal"/>
      <w:lvlText w:val="%4."/>
      <w:lvlJc w:val="left"/>
      <w:pPr>
        <w:ind w:left="5280" w:hanging="360"/>
      </w:pPr>
    </w:lvl>
    <w:lvl w:ilvl="4" w:tplc="04090019" w:tentative="1">
      <w:start w:val="1"/>
      <w:numFmt w:val="lowerLetter"/>
      <w:lvlText w:val="%5."/>
      <w:lvlJc w:val="left"/>
      <w:pPr>
        <w:ind w:left="6000" w:hanging="360"/>
      </w:pPr>
    </w:lvl>
    <w:lvl w:ilvl="5" w:tplc="0409001B" w:tentative="1">
      <w:start w:val="1"/>
      <w:numFmt w:val="lowerRoman"/>
      <w:lvlText w:val="%6."/>
      <w:lvlJc w:val="right"/>
      <w:pPr>
        <w:ind w:left="6720" w:hanging="180"/>
      </w:pPr>
    </w:lvl>
    <w:lvl w:ilvl="6" w:tplc="0409000F" w:tentative="1">
      <w:start w:val="1"/>
      <w:numFmt w:val="decimal"/>
      <w:lvlText w:val="%7."/>
      <w:lvlJc w:val="left"/>
      <w:pPr>
        <w:ind w:left="7440" w:hanging="360"/>
      </w:pPr>
    </w:lvl>
    <w:lvl w:ilvl="7" w:tplc="04090019" w:tentative="1">
      <w:start w:val="1"/>
      <w:numFmt w:val="lowerLetter"/>
      <w:lvlText w:val="%8."/>
      <w:lvlJc w:val="left"/>
      <w:pPr>
        <w:ind w:left="8160" w:hanging="360"/>
      </w:pPr>
    </w:lvl>
    <w:lvl w:ilvl="8" w:tplc="0409001B" w:tentative="1">
      <w:start w:val="1"/>
      <w:numFmt w:val="lowerRoman"/>
      <w:lvlText w:val="%9."/>
      <w:lvlJc w:val="right"/>
      <w:pPr>
        <w:ind w:left="8880" w:hanging="180"/>
      </w:pPr>
    </w:lvl>
  </w:abstractNum>
  <w:abstractNum w:abstractNumId="36" w15:restartNumberingAfterBreak="0">
    <w:nsid w:val="32757760"/>
    <w:multiLevelType w:val="hybridMultilevel"/>
    <w:tmpl w:val="D8E2E582"/>
    <w:lvl w:ilvl="0" w:tplc="630C3BD2">
      <w:start w:val="1"/>
      <w:numFmt w:val="bullet"/>
      <w:lvlText w:val=""/>
      <w:lvlJc w:val="left"/>
      <w:pPr>
        <w:tabs>
          <w:tab w:val="num" w:pos="720"/>
        </w:tabs>
        <w:ind w:left="720" w:hanging="360"/>
      </w:pPr>
      <w:rPr>
        <w:rFonts w:ascii="Symbol" w:hAnsi="Symbol" w:hint="default"/>
      </w:rPr>
    </w:lvl>
    <w:lvl w:ilvl="1" w:tplc="736C7EAC">
      <w:numFmt w:val="bullet"/>
      <w:lvlText w:val="o"/>
      <w:lvlJc w:val="left"/>
      <w:pPr>
        <w:tabs>
          <w:tab w:val="num" w:pos="1440"/>
        </w:tabs>
        <w:ind w:left="1440" w:hanging="360"/>
      </w:pPr>
      <w:rPr>
        <w:rFonts w:ascii="Courier New" w:hAnsi="Courier New" w:hint="default"/>
      </w:rPr>
    </w:lvl>
    <w:lvl w:ilvl="2" w:tplc="FA36AD66" w:tentative="1">
      <w:start w:val="1"/>
      <w:numFmt w:val="bullet"/>
      <w:lvlText w:val=""/>
      <w:lvlJc w:val="left"/>
      <w:pPr>
        <w:tabs>
          <w:tab w:val="num" w:pos="2160"/>
        </w:tabs>
        <w:ind w:left="2160" w:hanging="360"/>
      </w:pPr>
      <w:rPr>
        <w:rFonts w:ascii="Symbol" w:hAnsi="Symbol" w:hint="default"/>
      </w:rPr>
    </w:lvl>
    <w:lvl w:ilvl="3" w:tplc="8EEEBFE4" w:tentative="1">
      <w:start w:val="1"/>
      <w:numFmt w:val="bullet"/>
      <w:lvlText w:val=""/>
      <w:lvlJc w:val="left"/>
      <w:pPr>
        <w:tabs>
          <w:tab w:val="num" w:pos="2880"/>
        </w:tabs>
        <w:ind w:left="2880" w:hanging="360"/>
      </w:pPr>
      <w:rPr>
        <w:rFonts w:ascii="Symbol" w:hAnsi="Symbol" w:hint="default"/>
      </w:rPr>
    </w:lvl>
    <w:lvl w:ilvl="4" w:tplc="116CA98C" w:tentative="1">
      <w:start w:val="1"/>
      <w:numFmt w:val="bullet"/>
      <w:lvlText w:val=""/>
      <w:lvlJc w:val="left"/>
      <w:pPr>
        <w:tabs>
          <w:tab w:val="num" w:pos="3600"/>
        </w:tabs>
        <w:ind w:left="3600" w:hanging="360"/>
      </w:pPr>
      <w:rPr>
        <w:rFonts w:ascii="Symbol" w:hAnsi="Symbol" w:hint="default"/>
      </w:rPr>
    </w:lvl>
    <w:lvl w:ilvl="5" w:tplc="CB224F66" w:tentative="1">
      <w:start w:val="1"/>
      <w:numFmt w:val="bullet"/>
      <w:lvlText w:val=""/>
      <w:lvlJc w:val="left"/>
      <w:pPr>
        <w:tabs>
          <w:tab w:val="num" w:pos="4320"/>
        </w:tabs>
        <w:ind w:left="4320" w:hanging="360"/>
      </w:pPr>
      <w:rPr>
        <w:rFonts w:ascii="Symbol" w:hAnsi="Symbol" w:hint="default"/>
      </w:rPr>
    </w:lvl>
    <w:lvl w:ilvl="6" w:tplc="58EA77D6" w:tentative="1">
      <w:start w:val="1"/>
      <w:numFmt w:val="bullet"/>
      <w:lvlText w:val=""/>
      <w:lvlJc w:val="left"/>
      <w:pPr>
        <w:tabs>
          <w:tab w:val="num" w:pos="5040"/>
        </w:tabs>
        <w:ind w:left="5040" w:hanging="360"/>
      </w:pPr>
      <w:rPr>
        <w:rFonts w:ascii="Symbol" w:hAnsi="Symbol" w:hint="default"/>
      </w:rPr>
    </w:lvl>
    <w:lvl w:ilvl="7" w:tplc="C9B83C86" w:tentative="1">
      <w:start w:val="1"/>
      <w:numFmt w:val="bullet"/>
      <w:lvlText w:val=""/>
      <w:lvlJc w:val="left"/>
      <w:pPr>
        <w:tabs>
          <w:tab w:val="num" w:pos="5760"/>
        </w:tabs>
        <w:ind w:left="5760" w:hanging="360"/>
      </w:pPr>
      <w:rPr>
        <w:rFonts w:ascii="Symbol" w:hAnsi="Symbol" w:hint="default"/>
      </w:rPr>
    </w:lvl>
    <w:lvl w:ilvl="8" w:tplc="5B80BCCE" w:tentative="1">
      <w:start w:val="1"/>
      <w:numFmt w:val="bullet"/>
      <w:lvlText w:val=""/>
      <w:lvlJc w:val="left"/>
      <w:pPr>
        <w:tabs>
          <w:tab w:val="num" w:pos="6480"/>
        </w:tabs>
        <w:ind w:left="6480" w:hanging="360"/>
      </w:pPr>
      <w:rPr>
        <w:rFonts w:ascii="Symbol" w:hAnsi="Symbol" w:hint="default"/>
      </w:rPr>
    </w:lvl>
  </w:abstractNum>
  <w:abstractNum w:abstractNumId="37" w15:restartNumberingAfterBreak="0">
    <w:nsid w:val="32FC24EE"/>
    <w:multiLevelType w:val="hybridMultilevel"/>
    <w:tmpl w:val="81F86C90"/>
    <w:lvl w:ilvl="0" w:tplc="88FCD554">
      <w:start w:val="1"/>
      <w:numFmt w:val="lowerLetter"/>
      <w:lvlText w:val="(%1)"/>
      <w:lvlJc w:val="left"/>
      <w:pPr>
        <w:ind w:left="6720" w:hanging="4590"/>
      </w:pPr>
      <w:rPr>
        <w:rFonts w:hint="default"/>
      </w:rPr>
    </w:lvl>
    <w:lvl w:ilvl="1" w:tplc="04090019" w:tentative="1">
      <w:start w:val="1"/>
      <w:numFmt w:val="lowerLetter"/>
      <w:lvlText w:val="%2."/>
      <w:lvlJc w:val="left"/>
      <w:pPr>
        <w:ind w:left="3210" w:hanging="360"/>
      </w:pPr>
    </w:lvl>
    <w:lvl w:ilvl="2" w:tplc="0409001B" w:tentative="1">
      <w:start w:val="1"/>
      <w:numFmt w:val="lowerRoman"/>
      <w:lvlText w:val="%3."/>
      <w:lvlJc w:val="right"/>
      <w:pPr>
        <w:ind w:left="3930" w:hanging="180"/>
      </w:pPr>
    </w:lvl>
    <w:lvl w:ilvl="3" w:tplc="0409000F" w:tentative="1">
      <w:start w:val="1"/>
      <w:numFmt w:val="decimal"/>
      <w:lvlText w:val="%4."/>
      <w:lvlJc w:val="left"/>
      <w:pPr>
        <w:ind w:left="4650" w:hanging="360"/>
      </w:pPr>
    </w:lvl>
    <w:lvl w:ilvl="4" w:tplc="04090019" w:tentative="1">
      <w:start w:val="1"/>
      <w:numFmt w:val="lowerLetter"/>
      <w:lvlText w:val="%5."/>
      <w:lvlJc w:val="left"/>
      <w:pPr>
        <w:ind w:left="5370" w:hanging="360"/>
      </w:pPr>
    </w:lvl>
    <w:lvl w:ilvl="5" w:tplc="0409001B" w:tentative="1">
      <w:start w:val="1"/>
      <w:numFmt w:val="lowerRoman"/>
      <w:lvlText w:val="%6."/>
      <w:lvlJc w:val="right"/>
      <w:pPr>
        <w:ind w:left="6090" w:hanging="180"/>
      </w:pPr>
    </w:lvl>
    <w:lvl w:ilvl="6" w:tplc="0409000F" w:tentative="1">
      <w:start w:val="1"/>
      <w:numFmt w:val="decimal"/>
      <w:lvlText w:val="%7."/>
      <w:lvlJc w:val="left"/>
      <w:pPr>
        <w:ind w:left="6810" w:hanging="360"/>
      </w:pPr>
    </w:lvl>
    <w:lvl w:ilvl="7" w:tplc="04090019" w:tentative="1">
      <w:start w:val="1"/>
      <w:numFmt w:val="lowerLetter"/>
      <w:lvlText w:val="%8."/>
      <w:lvlJc w:val="left"/>
      <w:pPr>
        <w:ind w:left="7530" w:hanging="360"/>
      </w:pPr>
    </w:lvl>
    <w:lvl w:ilvl="8" w:tplc="0409001B" w:tentative="1">
      <w:start w:val="1"/>
      <w:numFmt w:val="lowerRoman"/>
      <w:lvlText w:val="%9."/>
      <w:lvlJc w:val="right"/>
      <w:pPr>
        <w:ind w:left="8250" w:hanging="180"/>
      </w:pPr>
    </w:lvl>
  </w:abstractNum>
  <w:abstractNum w:abstractNumId="38"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9"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9193955"/>
    <w:multiLevelType w:val="hybridMultilevel"/>
    <w:tmpl w:val="BCC08594"/>
    <w:lvl w:ilvl="0" w:tplc="BEE4A9E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9216C82"/>
    <w:multiLevelType w:val="hybridMultilevel"/>
    <w:tmpl w:val="79E4C022"/>
    <w:lvl w:ilvl="0" w:tplc="04090001">
      <w:start w:val="3"/>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97C0671"/>
    <w:multiLevelType w:val="hybridMultilevel"/>
    <w:tmpl w:val="397C0671"/>
    <w:lvl w:ilvl="0" w:tplc="892618E6">
      <w:start w:val="1"/>
      <w:numFmt w:val="bullet"/>
      <w:lvlText w:val=""/>
      <w:lvlJc w:val="left"/>
      <w:pPr>
        <w:ind w:left="360" w:hanging="360"/>
      </w:pPr>
      <w:rPr>
        <w:rFonts w:ascii="Symbol" w:hAnsi="Symbol" w:hint="default"/>
      </w:rPr>
    </w:lvl>
    <w:lvl w:ilvl="1" w:tplc="8118EA22">
      <w:start w:val="1"/>
      <w:numFmt w:val="bullet"/>
      <w:lvlText w:val="o"/>
      <w:lvlJc w:val="left"/>
      <w:pPr>
        <w:ind w:left="1080" w:hanging="360"/>
      </w:pPr>
      <w:rPr>
        <w:rFonts w:ascii="Courier New" w:hAnsi="Courier New" w:cs="Courier New" w:hint="default"/>
      </w:rPr>
    </w:lvl>
    <w:lvl w:ilvl="2" w:tplc="BB1E247A">
      <w:start w:val="1"/>
      <w:numFmt w:val="bullet"/>
      <w:lvlText w:val=""/>
      <w:lvlJc w:val="left"/>
      <w:pPr>
        <w:ind w:left="1800" w:hanging="360"/>
      </w:pPr>
      <w:rPr>
        <w:rFonts w:ascii="Wingdings" w:hAnsi="Wingdings" w:hint="default"/>
      </w:rPr>
    </w:lvl>
    <w:lvl w:ilvl="3" w:tplc="AC0E4192">
      <w:start w:val="1"/>
      <w:numFmt w:val="bullet"/>
      <w:lvlText w:val=""/>
      <w:lvlJc w:val="left"/>
      <w:pPr>
        <w:ind w:left="2520" w:hanging="360"/>
      </w:pPr>
      <w:rPr>
        <w:rFonts w:ascii="Symbol" w:hAnsi="Symbol" w:hint="default"/>
      </w:rPr>
    </w:lvl>
    <w:lvl w:ilvl="4" w:tplc="074EBCFE">
      <w:start w:val="1"/>
      <w:numFmt w:val="bullet"/>
      <w:lvlText w:val="o"/>
      <w:lvlJc w:val="left"/>
      <w:pPr>
        <w:ind w:left="3240" w:hanging="360"/>
      </w:pPr>
      <w:rPr>
        <w:rFonts w:ascii="Courier New" w:hAnsi="Courier New" w:cs="Courier New" w:hint="default"/>
      </w:rPr>
    </w:lvl>
    <w:lvl w:ilvl="5" w:tplc="0AAA8FB4">
      <w:start w:val="1"/>
      <w:numFmt w:val="bullet"/>
      <w:lvlText w:val=""/>
      <w:lvlJc w:val="left"/>
      <w:pPr>
        <w:ind w:left="3960" w:hanging="360"/>
      </w:pPr>
      <w:rPr>
        <w:rFonts w:ascii="Wingdings" w:hAnsi="Wingdings" w:hint="default"/>
      </w:rPr>
    </w:lvl>
    <w:lvl w:ilvl="6" w:tplc="57F022F0">
      <w:start w:val="1"/>
      <w:numFmt w:val="bullet"/>
      <w:lvlText w:val=""/>
      <w:lvlJc w:val="left"/>
      <w:pPr>
        <w:ind w:left="4680" w:hanging="360"/>
      </w:pPr>
      <w:rPr>
        <w:rFonts w:ascii="Symbol" w:hAnsi="Symbol" w:hint="default"/>
      </w:rPr>
    </w:lvl>
    <w:lvl w:ilvl="7" w:tplc="A71AFA36">
      <w:start w:val="1"/>
      <w:numFmt w:val="bullet"/>
      <w:lvlText w:val="o"/>
      <w:lvlJc w:val="left"/>
      <w:pPr>
        <w:ind w:left="5400" w:hanging="360"/>
      </w:pPr>
      <w:rPr>
        <w:rFonts w:ascii="Courier New" w:hAnsi="Courier New" w:cs="Courier New" w:hint="default"/>
      </w:rPr>
    </w:lvl>
    <w:lvl w:ilvl="8" w:tplc="8530E482">
      <w:start w:val="1"/>
      <w:numFmt w:val="bullet"/>
      <w:lvlText w:val=""/>
      <w:lvlJc w:val="left"/>
      <w:pPr>
        <w:ind w:left="6120" w:hanging="360"/>
      </w:pPr>
      <w:rPr>
        <w:rFonts w:ascii="Wingdings" w:hAnsi="Wingdings" w:hint="default"/>
      </w:rPr>
    </w:lvl>
  </w:abstractNum>
  <w:abstractNum w:abstractNumId="43" w15:restartNumberingAfterBreak="0">
    <w:nsid w:val="3AA46647"/>
    <w:multiLevelType w:val="hybridMultilevel"/>
    <w:tmpl w:val="9B88564C"/>
    <w:lvl w:ilvl="0" w:tplc="166A3800">
      <w:start w:val="1"/>
      <w:numFmt w:val="decimal"/>
      <w:pStyle w:val="Proposal"/>
      <w:lvlText w:val="Proposal %1"/>
      <w:lvlJc w:val="left"/>
      <w:pPr>
        <w:tabs>
          <w:tab w:val="num" w:pos="1304"/>
        </w:tabs>
        <w:ind w:left="1304" w:hanging="1304"/>
      </w:pPr>
      <w:rPr>
        <w:rFonts w:hint="default"/>
        <w:b/>
        <w:bCs/>
      </w:rPr>
    </w:lvl>
    <w:lvl w:ilvl="1" w:tplc="C268B510">
      <w:start w:val="1"/>
      <w:numFmt w:val="decimal"/>
      <w:lvlText w:val="%2"/>
      <w:lvlJc w:val="left"/>
      <w:pPr>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15:restartNumberingAfterBreak="0">
    <w:nsid w:val="3BBE1CE4"/>
    <w:multiLevelType w:val="hybridMultilevel"/>
    <w:tmpl w:val="2A7E8392"/>
    <w:lvl w:ilvl="0" w:tplc="0F0ECF48">
      <w:start w:val="1"/>
      <w:numFmt w:val="bullet"/>
      <w:lvlText w:val=""/>
      <w:lvlJc w:val="left"/>
      <w:pPr>
        <w:tabs>
          <w:tab w:val="num" w:pos="720"/>
        </w:tabs>
        <w:ind w:left="720" w:hanging="360"/>
      </w:pPr>
      <w:rPr>
        <w:rFonts w:ascii="Symbol" w:hAnsi="Symbol" w:hint="default"/>
      </w:rPr>
    </w:lvl>
    <w:lvl w:ilvl="1" w:tplc="7430B296">
      <w:numFmt w:val="bullet"/>
      <w:lvlText w:val="o"/>
      <w:lvlJc w:val="left"/>
      <w:pPr>
        <w:tabs>
          <w:tab w:val="num" w:pos="1440"/>
        </w:tabs>
        <w:ind w:left="1440" w:hanging="360"/>
      </w:pPr>
      <w:rPr>
        <w:rFonts w:ascii="Courier New" w:hAnsi="Courier New" w:hint="default"/>
      </w:rPr>
    </w:lvl>
    <w:lvl w:ilvl="2" w:tplc="B9847290" w:tentative="1">
      <w:start w:val="1"/>
      <w:numFmt w:val="bullet"/>
      <w:lvlText w:val=""/>
      <w:lvlJc w:val="left"/>
      <w:pPr>
        <w:tabs>
          <w:tab w:val="num" w:pos="2160"/>
        </w:tabs>
        <w:ind w:left="2160" w:hanging="360"/>
      </w:pPr>
      <w:rPr>
        <w:rFonts w:ascii="Symbol" w:hAnsi="Symbol" w:hint="default"/>
      </w:rPr>
    </w:lvl>
    <w:lvl w:ilvl="3" w:tplc="9B4A004E" w:tentative="1">
      <w:start w:val="1"/>
      <w:numFmt w:val="bullet"/>
      <w:lvlText w:val=""/>
      <w:lvlJc w:val="left"/>
      <w:pPr>
        <w:tabs>
          <w:tab w:val="num" w:pos="2880"/>
        </w:tabs>
        <w:ind w:left="2880" w:hanging="360"/>
      </w:pPr>
      <w:rPr>
        <w:rFonts w:ascii="Symbol" w:hAnsi="Symbol" w:hint="default"/>
      </w:rPr>
    </w:lvl>
    <w:lvl w:ilvl="4" w:tplc="F5C2A0D2" w:tentative="1">
      <w:start w:val="1"/>
      <w:numFmt w:val="bullet"/>
      <w:lvlText w:val=""/>
      <w:lvlJc w:val="left"/>
      <w:pPr>
        <w:tabs>
          <w:tab w:val="num" w:pos="3600"/>
        </w:tabs>
        <w:ind w:left="3600" w:hanging="360"/>
      </w:pPr>
      <w:rPr>
        <w:rFonts w:ascii="Symbol" w:hAnsi="Symbol" w:hint="default"/>
      </w:rPr>
    </w:lvl>
    <w:lvl w:ilvl="5" w:tplc="3F6C99C6" w:tentative="1">
      <w:start w:val="1"/>
      <w:numFmt w:val="bullet"/>
      <w:lvlText w:val=""/>
      <w:lvlJc w:val="left"/>
      <w:pPr>
        <w:tabs>
          <w:tab w:val="num" w:pos="4320"/>
        </w:tabs>
        <w:ind w:left="4320" w:hanging="360"/>
      </w:pPr>
      <w:rPr>
        <w:rFonts w:ascii="Symbol" w:hAnsi="Symbol" w:hint="default"/>
      </w:rPr>
    </w:lvl>
    <w:lvl w:ilvl="6" w:tplc="DD1AD136" w:tentative="1">
      <w:start w:val="1"/>
      <w:numFmt w:val="bullet"/>
      <w:lvlText w:val=""/>
      <w:lvlJc w:val="left"/>
      <w:pPr>
        <w:tabs>
          <w:tab w:val="num" w:pos="5040"/>
        </w:tabs>
        <w:ind w:left="5040" w:hanging="360"/>
      </w:pPr>
      <w:rPr>
        <w:rFonts w:ascii="Symbol" w:hAnsi="Symbol" w:hint="default"/>
      </w:rPr>
    </w:lvl>
    <w:lvl w:ilvl="7" w:tplc="8A787FD8" w:tentative="1">
      <w:start w:val="1"/>
      <w:numFmt w:val="bullet"/>
      <w:lvlText w:val=""/>
      <w:lvlJc w:val="left"/>
      <w:pPr>
        <w:tabs>
          <w:tab w:val="num" w:pos="5760"/>
        </w:tabs>
        <w:ind w:left="5760" w:hanging="360"/>
      </w:pPr>
      <w:rPr>
        <w:rFonts w:ascii="Symbol" w:hAnsi="Symbol" w:hint="default"/>
      </w:rPr>
    </w:lvl>
    <w:lvl w:ilvl="8" w:tplc="10862550" w:tentative="1">
      <w:start w:val="1"/>
      <w:numFmt w:val="bullet"/>
      <w:lvlText w:val=""/>
      <w:lvlJc w:val="left"/>
      <w:pPr>
        <w:tabs>
          <w:tab w:val="num" w:pos="6480"/>
        </w:tabs>
        <w:ind w:left="6480" w:hanging="360"/>
      </w:pPr>
      <w:rPr>
        <w:rFonts w:ascii="Symbol" w:hAnsi="Symbol" w:hint="default"/>
      </w:rPr>
    </w:lvl>
  </w:abstractNum>
  <w:abstractNum w:abstractNumId="45"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6" w15:restartNumberingAfterBreak="0">
    <w:nsid w:val="3CAA1556"/>
    <w:multiLevelType w:val="hybridMultilevel"/>
    <w:tmpl w:val="8D381754"/>
    <w:lvl w:ilvl="0" w:tplc="798A1A30">
      <w:start w:val="1"/>
      <w:numFmt w:val="bullet"/>
      <w:lvlText w:val="●"/>
      <w:lvlJc w:val="left"/>
      <w:pPr>
        <w:tabs>
          <w:tab w:val="num" w:pos="720"/>
        </w:tabs>
        <w:ind w:left="720" w:hanging="360"/>
      </w:pPr>
      <w:rPr>
        <w:rFonts w:ascii="Ericsson Hilda" w:hAnsi="Ericsson Hilda" w:hint="default"/>
      </w:rPr>
    </w:lvl>
    <w:lvl w:ilvl="1" w:tplc="EBEEA14C">
      <w:numFmt w:val="bullet"/>
      <w:lvlText w:val="●"/>
      <w:lvlJc w:val="left"/>
      <w:pPr>
        <w:tabs>
          <w:tab w:val="num" w:pos="1440"/>
        </w:tabs>
        <w:ind w:left="1440" w:hanging="360"/>
      </w:pPr>
      <w:rPr>
        <w:rFonts w:ascii="Ericsson Hilda" w:hAnsi="Ericsson Hilda" w:hint="default"/>
      </w:rPr>
    </w:lvl>
    <w:lvl w:ilvl="2" w:tplc="66F8D63C" w:tentative="1">
      <w:start w:val="1"/>
      <w:numFmt w:val="bullet"/>
      <w:lvlText w:val="●"/>
      <w:lvlJc w:val="left"/>
      <w:pPr>
        <w:tabs>
          <w:tab w:val="num" w:pos="2160"/>
        </w:tabs>
        <w:ind w:left="2160" w:hanging="360"/>
      </w:pPr>
      <w:rPr>
        <w:rFonts w:ascii="Ericsson Hilda" w:hAnsi="Ericsson Hilda" w:hint="default"/>
      </w:rPr>
    </w:lvl>
    <w:lvl w:ilvl="3" w:tplc="5B30C64A" w:tentative="1">
      <w:start w:val="1"/>
      <w:numFmt w:val="bullet"/>
      <w:lvlText w:val="●"/>
      <w:lvlJc w:val="left"/>
      <w:pPr>
        <w:tabs>
          <w:tab w:val="num" w:pos="2880"/>
        </w:tabs>
        <w:ind w:left="2880" w:hanging="360"/>
      </w:pPr>
      <w:rPr>
        <w:rFonts w:ascii="Ericsson Hilda" w:hAnsi="Ericsson Hilda" w:hint="default"/>
      </w:rPr>
    </w:lvl>
    <w:lvl w:ilvl="4" w:tplc="B434D25C" w:tentative="1">
      <w:start w:val="1"/>
      <w:numFmt w:val="bullet"/>
      <w:lvlText w:val="●"/>
      <w:lvlJc w:val="left"/>
      <w:pPr>
        <w:tabs>
          <w:tab w:val="num" w:pos="3600"/>
        </w:tabs>
        <w:ind w:left="3600" w:hanging="360"/>
      </w:pPr>
      <w:rPr>
        <w:rFonts w:ascii="Ericsson Hilda" w:hAnsi="Ericsson Hilda" w:hint="default"/>
      </w:rPr>
    </w:lvl>
    <w:lvl w:ilvl="5" w:tplc="CE8ED32A" w:tentative="1">
      <w:start w:val="1"/>
      <w:numFmt w:val="bullet"/>
      <w:lvlText w:val="●"/>
      <w:lvlJc w:val="left"/>
      <w:pPr>
        <w:tabs>
          <w:tab w:val="num" w:pos="4320"/>
        </w:tabs>
        <w:ind w:left="4320" w:hanging="360"/>
      </w:pPr>
      <w:rPr>
        <w:rFonts w:ascii="Ericsson Hilda" w:hAnsi="Ericsson Hilda" w:hint="default"/>
      </w:rPr>
    </w:lvl>
    <w:lvl w:ilvl="6" w:tplc="919A518E" w:tentative="1">
      <w:start w:val="1"/>
      <w:numFmt w:val="bullet"/>
      <w:lvlText w:val="●"/>
      <w:lvlJc w:val="left"/>
      <w:pPr>
        <w:tabs>
          <w:tab w:val="num" w:pos="5040"/>
        </w:tabs>
        <w:ind w:left="5040" w:hanging="360"/>
      </w:pPr>
      <w:rPr>
        <w:rFonts w:ascii="Ericsson Hilda" w:hAnsi="Ericsson Hilda" w:hint="default"/>
      </w:rPr>
    </w:lvl>
    <w:lvl w:ilvl="7" w:tplc="032857A6" w:tentative="1">
      <w:start w:val="1"/>
      <w:numFmt w:val="bullet"/>
      <w:lvlText w:val="●"/>
      <w:lvlJc w:val="left"/>
      <w:pPr>
        <w:tabs>
          <w:tab w:val="num" w:pos="5760"/>
        </w:tabs>
        <w:ind w:left="5760" w:hanging="360"/>
      </w:pPr>
      <w:rPr>
        <w:rFonts w:ascii="Ericsson Hilda" w:hAnsi="Ericsson Hilda" w:hint="default"/>
      </w:rPr>
    </w:lvl>
    <w:lvl w:ilvl="8" w:tplc="F6768E0A" w:tentative="1">
      <w:start w:val="1"/>
      <w:numFmt w:val="bullet"/>
      <w:lvlText w:val="●"/>
      <w:lvlJc w:val="left"/>
      <w:pPr>
        <w:tabs>
          <w:tab w:val="num" w:pos="6480"/>
        </w:tabs>
        <w:ind w:left="6480" w:hanging="360"/>
      </w:pPr>
      <w:rPr>
        <w:rFonts w:ascii="Ericsson Hilda" w:hAnsi="Ericsson Hilda" w:hint="default"/>
      </w:rPr>
    </w:lvl>
  </w:abstractNum>
  <w:abstractNum w:abstractNumId="47" w15:restartNumberingAfterBreak="0">
    <w:nsid w:val="407A3C2B"/>
    <w:multiLevelType w:val="hybridMultilevel"/>
    <w:tmpl w:val="10866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C16D6E"/>
    <w:multiLevelType w:val="hybridMultilevel"/>
    <w:tmpl w:val="96E8D06C"/>
    <w:lvl w:ilvl="0" w:tplc="228A82E8">
      <w:start w:val="1"/>
      <w:numFmt w:val="lowerLetter"/>
      <w:lvlText w:val="(%1)"/>
      <w:lvlJc w:val="left"/>
      <w:pPr>
        <w:ind w:left="6630" w:hanging="3870"/>
      </w:pPr>
      <w:rPr>
        <w:rFonts w:hint="default"/>
      </w:rPr>
    </w:lvl>
    <w:lvl w:ilvl="1" w:tplc="04090019" w:tentative="1">
      <w:start w:val="1"/>
      <w:numFmt w:val="lowerLetter"/>
      <w:lvlText w:val="%2."/>
      <w:lvlJc w:val="left"/>
      <w:pPr>
        <w:ind w:left="3840" w:hanging="360"/>
      </w:pPr>
    </w:lvl>
    <w:lvl w:ilvl="2" w:tplc="0409001B" w:tentative="1">
      <w:start w:val="1"/>
      <w:numFmt w:val="lowerRoman"/>
      <w:lvlText w:val="%3."/>
      <w:lvlJc w:val="right"/>
      <w:pPr>
        <w:ind w:left="4560" w:hanging="180"/>
      </w:pPr>
    </w:lvl>
    <w:lvl w:ilvl="3" w:tplc="0409000F" w:tentative="1">
      <w:start w:val="1"/>
      <w:numFmt w:val="decimal"/>
      <w:lvlText w:val="%4."/>
      <w:lvlJc w:val="left"/>
      <w:pPr>
        <w:ind w:left="5280" w:hanging="360"/>
      </w:pPr>
    </w:lvl>
    <w:lvl w:ilvl="4" w:tplc="04090019" w:tentative="1">
      <w:start w:val="1"/>
      <w:numFmt w:val="lowerLetter"/>
      <w:lvlText w:val="%5."/>
      <w:lvlJc w:val="left"/>
      <w:pPr>
        <w:ind w:left="6000" w:hanging="360"/>
      </w:pPr>
    </w:lvl>
    <w:lvl w:ilvl="5" w:tplc="0409001B" w:tentative="1">
      <w:start w:val="1"/>
      <w:numFmt w:val="lowerRoman"/>
      <w:lvlText w:val="%6."/>
      <w:lvlJc w:val="right"/>
      <w:pPr>
        <w:ind w:left="6720" w:hanging="180"/>
      </w:pPr>
    </w:lvl>
    <w:lvl w:ilvl="6" w:tplc="0409000F" w:tentative="1">
      <w:start w:val="1"/>
      <w:numFmt w:val="decimal"/>
      <w:lvlText w:val="%7."/>
      <w:lvlJc w:val="left"/>
      <w:pPr>
        <w:ind w:left="7440" w:hanging="360"/>
      </w:pPr>
    </w:lvl>
    <w:lvl w:ilvl="7" w:tplc="04090019" w:tentative="1">
      <w:start w:val="1"/>
      <w:numFmt w:val="lowerLetter"/>
      <w:lvlText w:val="%8."/>
      <w:lvlJc w:val="left"/>
      <w:pPr>
        <w:ind w:left="8160" w:hanging="360"/>
      </w:pPr>
    </w:lvl>
    <w:lvl w:ilvl="8" w:tplc="0409001B" w:tentative="1">
      <w:start w:val="1"/>
      <w:numFmt w:val="lowerRoman"/>
      <w:lvlText w:val="%9."/>
      <w:lvlJc w:val="right"/>
      <w:pPr>
        <w:ind w:left="8880" w:hanging="180"/>
      </w:pPr>
    </w:lvl>
  </w:abstractNum>
  <w:abstractNum w:abstractNumId="49" w15:restartNumberingAfterBreak="0">
    <w:nsid w:val="421908DD"/>
    <w:multiLevelType w:val="hybridMultilevel"/>
    <w:tmpl w:val="8C5C1E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9743B89"/>
    <w:multiLevelType w:val="hybridMultilevel"/>
    <w:tmpl w:val="7F6250A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4D9E5959"/>
    <w:multiLevelType w:val="hybridMultilevel"/>
    <w:tmpl w:val="01A471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FBF2910"/>
    <w:multiLevelType w:val="hybridMultilevel"/>
    <w:tmpl w:val="FDC622D4"/>
    <w:lvl w:ilvl="0" w:tplc="9178534E">
      <w:start w:val="1"/>
      <w:numFmt w:val="bullet"/>
      <w:lvlText w:val="●"/>
      <w:lvlJc w:val="left"/>
      <w:pPr>
        <w:tabs>
          <w:tab w:val="num" w:pos="720"/>
        </w:tabs>
        <w:ind w:left="720" w:hanging="360"/>
      </w:pPr>
      <w:rPr>
        <w:rFonts w:ascii="Ericsson Hilda" w:hAnsi="Ericsson Hilda" w:hint="default"/>
      </w:rPr>
    </w:lvl>
    <w:lvl w:ilvl="1" w:tplc="67A45B3C">
      <w:start w:val="1"/>
      <w:numFmt w:val="bullet"/>
      <w:lvlText w:val="●"/>
      <w:lvlJc w:val="left"/>
      <w:pPr>
        <w:tabs>
          <w:tab w:val="num" w:pos="1440"/>
        </w:tabs>
        <w:ind w:left="1440" w:hanging="360"/>
      </w:pPr>
      <w:rPr>
        <w:rFonts w:ascii="Ericsson Hilda" w:hAnsi="Ericsson Hilda" w:hint="default"/>
      </w:rPr>
    </w:lvl>
    <w:lvl w:ilvl="2" w:tplc="750A62B0" w:tentative="1">
      <w:start w:val="1"/>
      <w:numFmt w:val="bullet"/>
      <w:lvlText w:val="●"/>
      <w:lvlJc w:val="left"/>
      <w:pPr>
        <w:tabs>
          <w:tab w:val="num" w:pos="2160"/>
        </w:tabs>
        <w:ind w:left="2160" w:hanging="360"/>
      </w:pPr>
      <w:rPr>
        <w:rFonts w:ascii="Ericsson Hilda" w:hAnsi="Ericsson Hilda" w:hint="default"/>
      </w:rPr>
    </w:lvl>
    <w:lvl w:ilvl="3" w:tplc="8B0820E0" w:tentative="1">
      <w:start w:val="1"/>
      <w:numFmt w:val="bullet"/>
      <w:lvlText w:val="●"/>
      <w:lvlJc w:val="left"/>
      <w:pPr>
        <w:tabs>
          <w:tab w:val="num" w:pos="2880"/>
        </w:tabs>
        <w:ind w:left="2880" w:hanging="360"/>
      </w:pPr>
      <w:rPr>
        <w:rFonts w:ascii="Ericsson Hilda" w:hAnsi="Ericsson Hilda" w:hint="default"/>
      </w:rPr>
    </w:lvl>
    <w:lvl w:ilvl="4" w:tplc="8766C3AC" w:tentative="1">
      <w:start w:val="1"/>
      <w:numFmt w:val="bullet"/>
      <w:lvlText w:val="●"/>
      <w:lvlJc w:val="left"/>
      <w:pPr>
        <w:tabs>
          <w:tab w:val="num" w:pos="3600"/>
        </w:tabs>
        <w:ind w:left="3600" w:hanging="360"/>
      </w:pPr>
      <w:rPr>
        <w:rFonts w:ascii="Ericsson Hilda" w:hAnsi="Ericsson Hilda" w:hint="default"/>
      </w:rPr>
    </w:lvl>
    <w:lvl w:ilvl="5" w:tplc="3F26F460" w:tentative="1">
      <w:start w:val="1"/>
      <w:numFmt w:val="bullet"/>
      <w:lvlText w:val="●"/>
      <w:lvlJc w:val="left"/>
      <w:pPr>
        <w:tabs>
          <w:tab w:val="num" w:pos="4320"/>
        </w:tabs>
        <w:ind w:left="4320" w:hanging="360"/>
      </w:pPr>
      <w:rPr>
        <w:rFonts w:ascii="Ericsson Hilda" w:hAnsi="Ericsson Hilda" w:hint="default"/>
      </w:rPr>
    </w:lvl>
    <w:lvl w:ilvl="6" w:tplc="AA66AFDE" w:tentative="1">
      <w:start w:val="1"/>
      <w:numFmt w:val="bullet"/>
      <w:lvlText w:val="●"/>
      <w:lvlJc w:val="left"/>
      <w:pPr>
        <w:tabs>
          <w:tab w:val="num" w:pos="5040"/>
        </w:tabs>
        <w:ind w:left="5040" w:hanging="360"/>
      </w:pPr>
      <w:rPr>
        <w:rFonts w:ascii="Ericsson Hilda" w:hAnsi="Ericsson Hilda" w:hint="default"/>
      </w:rPr>
    </w:lvl>
    <w:lvl w:ilvl="7" w:tplc="4D98241E" w:tentative="1">
      <w:start w:val="1"/>
      <w:numFmt w:val="bullet"/>
      <w:lvlText w:val="●"/>
      <w:lvlJc w:val="left"/>
      <w:pPr>
        <w:tabs>
          <w:tab w:val="num" w:pos="5760"/>
        </w:tabs>
        <w:ind w:left="5760" w:hanging="360"/>
      </w:pPr>
      <w:rPr>
        <w:rFonts w:ascii="Ericsson Hilda" w:hAnsi="Ericsson Hilda" w:hint="default"/>
      </w:rPr>
    </w:lvl>
    <w:lvl w:ilvl="8" w:tplc="0C0A3D7A" w:tentative="1">
      <w:start w:val="1"/>
      <w:numFmt w:val="bullet"/>
      <w:lvlText w:val="●"/>
      <w:lvlJc w:val="left"/>
      <w:pPr>
        <w:tabs>
          <w:tab w:val="num" w:pos="6480"/>
        </w:tabs>
        <w:ind w:left="6480" w:hanging="360"/>
      </w:pPr>
      <w:rPr>
        <w:rFonts w:ascii="Ericsson Hilda" w:hAnsi="Ericsson Hilda" w:hint="default"/>
      </w:rPr>
    </w:lvl>
  </w:abstractNum>
  <w:abstractNum w:abstractNumId="54" w15:restartNumberingAfterBreak="0">
    <w:nsid w:val="500337AB"/>
    <w:multiLevelType w:val="hybridMultilevel"/>
    <w:tmpl w:val="AA200472"/>
    <w:lvl w:ilvl="0" w:tplc="EE62B4F2">
      <w:start w:val="1"/>
      <w:numFmt w:val="bullet"/>
      <w:lvlText w:val=""/>
      <w:lvlJc w:val="left"/>
      <w:pPr>
        <w:tabs>
          <w:tab w:val="num" w:pos="720"/>
        </w:tabs>
        <w:ind w:left="720" w:hanging="360"/>
      </w:pPr>
      <w:rPr>
        <w:rFonts w:ascii="Symbol" w:hAnsi="Symbol" w:hint="default"/>
      </w:rPr>
    </w:lvl>
    <w:lvl w:ilvl="1" w:tplc="165AF522">
      <w:numFmt w:val="bullet"/>
      <w:lvlText w:val="o"/>
      <w:lvlJc w:val="left"/>
      <w:pPr>
        <w:tabs>
          <w:tab w:val="num" w:pos="1440"/>
        </w:tabs>
        <w:ind w:left="1440" w:hanging="360"/>
      </w:pPr>
      <w:rPr>
        <w:rFonts w:ascii="Courier New" w:hAnsi="Courier New" w:hint="default"/>
      </w:rPr>
    </w:lvl>
    <w:lvl w:ilvl="2" w:tplc="CFD2203A" w:tentative="1">
      <w:start w:val="1"/>
      <w:numFmt w:val="bullet"/>
      <w:lvlText w:val=""/>
      <w:lvlJc w:val="left"/>
      <w:pPr>
        <w:tabs>
          <w:tab w:val="num" w:pos="2160"/>
        </w:tabs>
        <w:ind w:left="2160" w:hanging="360"/>
      </w:pPr>
      <w:rPr>
        <w:rFonts w:ascii="Symbol" w:hAnsi="Symbol" w:hint="default"/>
      </w:rPr>
    </w:lvl>
    <w:lvl w:ilvl="3" w:tplc="C9F4131A" w:tentative="1">
      <w:start w:val="1"/>
      <w:numFmt w:val="bullet"/>
      <w:lvlText w:val=""/>
      <w:lvlJc w:val="left"/>
      <w:pPr>
        <w:tabs>
          <w:tab w:val="num" w:pos="2880"/>
        </w:tabs>
        <w:ind w:left="2880" w:hanging="360"/>
      </w:pPr>
      <w:rPr>
        <w:rFonts w:ascii="Symbol" w:hAnsi="Symbol" w:hint="default"/>
      </w:rPr>
    </w:lvl>
    <w:lvl w:ilvl="4" w:tplc="41CEE786" w:tentative="1">
      <w:start w:val="1"/>
      <w:numFmt w:val="bullet"/>
      <w:lvlText w:val=""/>
      <w:lvlJc w:val="left"/>
      <w:pPr>
        <w:tabs>
          <w:tab w:val="num" w:pos="3600"/>
        </w:tabs>
        <w:ind w:left="3600" w:hanging="360"/>
      </w:pPr>
      <w:rPr>
        <w:rFonts w:ascii="Symbol" w:hAnsi="Symbol" w:hint="default"/>
      </w:rPr>
    </w:lvl>
    <w:lvl w:ilvl="5" w:tplc="A10CD3B0" w:tentative="1">
      <w:start w:val="1"/>
      <w:numFmt w:val="bullet"/>
      <w:lvlText w:val=""/>
      <w:lvlJc w:val="left"/>
      <w:pPr>
        <w:tabs>
          <w:tab w:val="num" w:pos="4320"/>
        </w:tabs>
        <w:ind w:left="4320" w:hanging="360"/>
      </w:pPr>
      <w:rPr>
        <w:rFonts w:ascii="Symbol" w:hAnsi="Symbol" w:hint="default"/>
      </w:rPr>
    </w:lvl>
    <w:lvl w:ilvl="6" w:tplc="843A2C2C" w:tentative="1">
      <w:start w:val="1"/>
      <w:numFmt w:val="bullet"/>
      <w:lvlText w:val=""/>
      <w:lvlJc w:val="left"/>
      <w:pPr>
        <w:tabs>
          <w:tab w:val="num" w:pos="5040"/>
        </w:tabs>
        <w:ind w:left="5040" w:hanging="360"/>
      </w:pPr>
      <w:rPr>
        <w:rFonts w:ascii="Symbol" w:hAnsi="Symbol" w:hint="default"/>
      </w:rPr>
    </w:lvl>
    <w:lvl w:ilvl="7" w:tplc="2208D756" w:tentative="1">
      <w:start w:val="1"/>
      <w:numFmt w:val="bullet"/>
      <w:lvlText w:val=""/>
      <w:lvlJc w:val="left"/>
      <w:pPr>
        <w:tabs>
          <w:tab w:val="num" w:pos="5760"/>
        </w:tabs>
        <w:ind w:left="5760" w:hanging="360"/>
      </w:pPr>
      <w:rPr>
        <w:rFonts w:ascii="Symbol" w:hAnsi="Symbol" w:hint="default"/>
      </w:rPr>
    </w:lvl>
    <w:lvl w:ilvl="8" w:tplc="81262C1A" w:tentative="1">
      <w:start w:val="1"/>
      <w:numFmt w:val="bullet"/>
      <w:lvlText w:val=""/>
      <w:lvlJc w:val="left"/>
      <w:pPr>
        <w:tabs>
          <w:tab w:val="num" w:pos="6480"/>
        </w:tabs>
        <w:ind w:left="6480" w:hanging="360"/>
      </w:pPr>
      <w:rPr>
        <w:rFonts w:ascii="Symbol" w:hAnsi="Symbol" w:hint="default"/>
      </w:rPr>
    </w:lvl>
  </w:abstractNum>
  <w:abstractNum w:abstractNumId="55" w15:restartNumberingAfterBreak="0">
    <w:nsid w:val="50CE2BA5"/>
    <w:multiLevelType w:val="hybridMultilevel"/>
    <w:tmpl w:val="FB64F294"/>
    <w:lvl w:ilvl="0" w:tplc="04090003">
      <w:start w:val="1"/>
      <w:numFmt w:val="bullet"/>
      <w:lvlText w:val=""/>
      <w:lvlJc w:val="left"/>
      <w:pPr>
        <w:ind w:left="840" w:hanging="420"/>
      </w:pPr>
      <w:rPr>
        <w:rFonts w:ascii="Wingdings" w:hAnsi="Wingdings" w:hint="default"/>
      </w:rPr>
    </w:lvl>
    <w:lvl w:ilvl="1" w:tplc="0409000B">
      <w:start w:val="1"/>
      <w:numFmt w:val="bullet"/>
      <w:lvlText w:val=""/>
      <w:lvlJc w:val="left"/>
      <w:pPr>
        <w:ind w:left="1260" w:hanging="420"/>
      </w:pPr>
      <w:rPr>
        <w:rFonts w:ascii="Wingdings" w:hAnsi="Wingdings" w:hint="default"/>
      </w:rPr>
    </w:lvl>
    <w:lvl w:ilvl="2" w:tplc="0409000D">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B">
      <w:start w:val="1"/>
      <w:numFmt w:val="bullet"/>
      <w:lvlText w:val=""/>
      <w:lvlJc w:val="left"/>
      <w:pPr>
        <w:ind w:left="2520" w:hanging="420"/>
      </w:pPr>
      <w:rPr>
        <w:rFonts w:ascii="Wingdings" w:hAnsi="Wingdings" w:hint="default"/>
      </w:rPr>
    </w:lvl>
    <w:lvl w:ilvl="5" w:tplc="0409000D">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B">
      <w:start w:val="1"/>
      <w:numFmt w:val="bullet"/>
      <w:lvlText w:val=""/>
      <w:lvlJc w:val="left"/>
      <w:pPr>
        <w:ind w:left="3780" w:hanging="420"/>
      </w:pPr>
      <w:rPr>
        <w:rFonts w:ascii="Wingdings" w:hAnsi="Wingdings" w:hint="default"/>
      </w:rPr>
    </w:lvl>
    <w:lvl w:ilvl="8" w:tplc="0409000D">
      <w:start w:val="1"/>
      <w:numFmt w:val="bullet"/>
      <w:lvlText w:val=""/>
      <w:lvlJc w:val="left"/>
      <w:pPr>
        <w:ind w:left="4200" w:hanging="420"/>
      </w:pPr>
      <w:rPr>
        <w:rFonts w:ascii="Wingdings" w:hAnsi="Wingdings" w:hint="default"/>
      </w:rPr>
    </w:lvl>
  </w:abstractNum>
  <w:abstractNum w:abstractNumId="56"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560A0151"/>
    <w:multiLevelType w:val="hybridMultilevel"/>
    <w:tmpl w:val="4C42D900"/>
    <w:lvl w:ilvl="0" w:tplc="6DE8E89C">
      <w:start w:val="1"/>
      <w:numFmt w:val="bullet"/>
      <w:lvlText w:val=""/>
      <w:lvlJc w:val="left"/>
      <w:pPr>
        <w:tabs>
          <w:tab w:val="num" w:pos="-402"/>
        </w:tabs>
        <w:ind w:left="-402" w:hanging="360"/>
      </w:pPr>
      <w:rPr>
        <w:rFonts w:ascii="Symbol" w:hAnsi="Symbol" w:hint="default"/>
      </w:rPr>
    </w:lvl>
    <w:lvl w:ilvl="1" w:tplc="46045CD0">
      <w:numFmt w:val="bullet"/>
      <w:lvlText w:val="o"/>
      <w:lvlJc w:val="left"/>
      <w:pPr>
        <w:tabs>
          <w:tab w:val="num" w:pos="318"/>
        </w:tabs>
        <w:ind w:left="318" w:hanging="360"/>
      </w:pPr>
      <w:rPr>
        <w:rFonts w:ascii="Courier New" w:hAnsi="Courier New" w:hint="default"/>
      </w:rPr>
    </w:lvl>
    <w:lvl w:ilvl="2" w:tplc="F490E3D2">
      <w:numFmt w:val="bullet"/>
      <w:lvlText w:val=""/>
      <w:lvlJc w:val="left"/>
      <w:pPr>
        <w:tabs>
          <w:tab w:val="num" w:pos="1038"/>
        </w:tabs>
        <w:ind w:left="1038" w:hanging="360"/>
      </w:pPr>
      <w:rPr>
        <w:rFonts w:ascii="Wingdings" w:hAnsi="Wingdings" w:hint="default"/>
      </w:rPr>
    </w:lvl>
    <w:lvl w:ilvl="3" w:tplc="8E2E1092" w:tentative="1">
      <w:start w:val="1"/>
      <w:numFmt w:val="bullet"/>
      <w:lvlText w:val=""/>
      <w:lvlJc w:val="left"/>
      <w:pPr>
        <w:tabs>
          <w:tab w:val="num" w:pos="1758"/>
        </w:tabs>
        <w:ind w:left="1758" w:hanging="360"/>
      </w:pPr>
      <w:rPr>
        <w:rFonts w:ascii="Symbol" w:hAnsi="Symbol" w:hint="default"/>
      </w:rPr>
    </w:lvl>
    <w:lvl w:ilvl="4" w:tplc="086C7A90" w:tentative="1">
      <w:start w:val="1"/>
      <w:numFmt w:val="bullet"/>
      <w:lvlText w:val=""/>
      <w:lvlJc w:val="left"/>
      <w:pPr>
        <w:tabs>
          <w:tab w:val="num" w:pos="2478"/>
        </w:tabs>
        <w:ind w:left="2478" w:hanging="360"/>
      </w:pPr>
      <w:rPr>
        <w:rFonts w:ascii="Symbol" w:hAnsi="Symbol" w:hint="default"/>
      </w:rPr>
    </w:lvl>
    <w:lvl w:ilvl="5" w:tplc="5472FAE4" w:tentative="1">
      <w:start w:val="1"/>
      <w:numFmt w:val="bullet"/>
      <w:lvlText w:val=""/>
      <w:lvlJc w:val="left"/>
      <w:pPr>
        <w:tabs>
          <w:tab w:val="num" w:pos="3198"/>
        </w:tabs>
        <w:ind w:left="3198" w:hanging="360"/>
      </w:pPr>
      <w:rPr>
        <w:rFonts w:ascii="Symbol" w:hAnsi="Symbol" w:hint="default"/>
      </w:rPr>
    </w:lvl>
    <w:lvl w:ilvl="6" w:tplc="A02415B6" w:tentative="1">
      <w:start w:val="1"/>
      <w:numFmt w:val="bullet"/>
      <w:lvlText w:val=""/>
      <w:lvlJc w:val="left"/>
      <w:pPr>
        <w:tabs>
          <w:tab w:val="num" w:pos="3918"/>
        </w:tabs>
        <w:ind w:left="3918" w:hanging="360"/>
      </w:pPr>
      <w:rPr>
        <w:rFonts w:ascii="Symbol" w:hAnsi="Symbol" w:hint="default"/>
      </w:rPr>
    </w:lvl>
    <w:lvl w:ilvl="7" w:tplc="3160A550" w:tentative="1">
      <w:start w:val="1"/>
      <w:numFmt w:val="bullet"/>
      <w:lvlText w:val=""/>
      <w:lvlJc w:val="left"/>
      <w:pPr>
        <w:tabs>
          <w:tab w:val="num" w:pos="4638"/>
        </w:tabs>
        <w:ind w:left="4638" w:hanging="360"/>
      </w:pPr>
      <w:rPr>
        <w:rFonts w:ascii="Symbol" w:hAnsi="Symbol" w:hint="default"/>
      </w:rPr>
    </w:lvl>
    <w:lvl w:ilvl="8" w:tplc="83AE3268" w:tentative="1">
      <w:start w:val="1"/>
      <w:numFmt w:val="bullet"/>
      <w:lvlText w:val=""/>
      <w:lvlJc w:val="left"/>
      <w:pPr>
        <w:tabs>
          <w:tab w:val="num" w:pos="5358"/>
        </w:tabs>
        <w:ind w:left="5358" w:hanging="360"/>
      </w:pPr>
      <w:rPr>
        <w:rFonts w:ascii="Symbol" w:hAnsi="Symbol" w:hint="default"/>
      </w:rPr>
    </w:lvl>
  </w:abstractNum>
  <w:abstractNum w:abstractNumId="59" w15:restartNumberingAfterBreak="0">
    <w:nsid w:val="57800AFB"/>
    <w:multiLevelType w:val="hybridMultilevel"/>
    <w:tmpl w:val="DDF23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78D7B84"/>
    <w:multiLevelType w:val="hybridMultilevel"/>
    <w:tmpl w:val="AE8EFDD8"/>
    <w:lvl w:ilvl="0" w:tplc="1FFAFBD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79E0E4E"/>
    <w:multiLevelType w:val="hybridMultilevel"/>
    <w:tmpl w:val="0ED68E56"/>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62" w15:restartNumberingAfterBreak="0">
    <w:nsid w:val="58021CF2"/>
    <w:multiLevelType w:val="hybridMultilevel"/>
    <w:tmpl w:val="37AC3A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8C37A6A"/>
    <w:multiLevelType w:val="hybridMultilevel"/>
    <w:tmpl w:val="F086F1DC"/>
    <w:lvl w:ilvl="0" w:tplc="7A406986">
      <w:start w:val="1"/>
      <w:numFmt w:val="decimal"/>
      <w:lvlText w:val="%1."/>
      <w:lvlJc w:val="left"/>
      <w:pPr>
        <w:tabs>
          <w:tab w:val="num" w:pos="720"/>
        </w:tabs>
        <w:ind w:left="720" w:hanging="720"/>
      </w:pPr>
    </w:lvl>
    <w:lvl w:ilvl="1" w:tplc="B04AA1A4">
      <w:start w:val="1"/>
      <w:numFmt w:val="decimal"/>
      <w:lvlText w:val="%2."/>
      <w:lvlJc w:val="left"/>
      <w:pPr>
        <w:tabs>
          <w:tab w:val="num" w:pos="1440"/>
        </w:tabs>
        <w:ind w:left="1440" w:hanging="720"/>
      </w:pPr>
    </w:lvl>
    <w:lvl w:ilvl="2" w:tplc="A136327C">
      <w:start w:val="1"/>
      <w:numFmt w:val="decimal"/>
      <w:lvlText w:val="%3."/>
      <w:lvlJc w:val="left"/>
      <w:pPr>
        <w:tabs>
          <w:tab w:val="num" w:pos="2160"/>
        </w:tabs>
        <w:ind w:left="2160" w:hanging="720"/>
      </w:pPr>
    </w:lvl>
    <w:lvl w:ilvl="3" w:tplc="20DE2AD4">
      <w:start w:val="1"/>
      <w:numFmt w:val="decimal"/>
      <w:lvlText w:val="%4."/>
      <w:lvlJc w:val="left"/>
      <w:pPr>
        <w:tabs>
          <w:tab w:val="num" w:pos="2880"/>
        </w:tabs>
        <w:ind w:left="2880" w:hanging="720"/>
      </w:pPr>
    </w:lvl>
    <w:lvl w:ilvl="4" w:tplc="6020197E">
      <w:start w:val="1"/>
      <w:numFmt w:val="decimal"/>
      <w:lvlText w:val="%5."/>
      <w:lvlJc w:val="left"/>
      <w:pPr>
        <w:tabs>
          <w:tab w:val="num" w:pos="3600"/>
        </w:tabs>
        <w:ind w:left="3600" w:hanging="720"/>
      </w:pPr>
    </w:lvl>
    <w:lvl w:ilvl="5" w:tplc="6A1E76B8">
      <w:start w:val="1"/>
      <w:numFmt w:val="decimal"/>
      <w:lvlText w:val="%6."/>
      <w:lvlJc w:val="left"/>
      <w:pPr>
        <w:tabs>
          <w:tab w:val="num" w:pos="4320"/>
        </w:tabs>
        <w:ind w:left="4320" w:hanging="720"/>
      </w:pPr>
    </w:lvl>
    <w:lvl w:ilvl="6" w:tplc="CB8C422C">
      <w:start w:val="1"/>
      <w:numFmt w:val="decimal"/>
      <w:lvlText w:val="%7."/>
      <w:lvlJc w:val="left"/>
      <w:pPr>
        <w:tabs>
          <w:tab w:val="num" w:pos="5040"/>
        </w:tabs>
        <w:ind w:left="5040" w:hanging="720"/>
      </w:pPr>
    </w:lvl>
    <w:lvl w:ilvl="7" w:tplc="F624538E">
      <w:start w:val="1"/>
      <w:numFmt w:val="decimal"/>
      <w:lvlText w:val="%8."/>
      <w:lvlJc w:val="left"/>
      <w:pPr>
        <w:tabs>
          <w:tab w:val="num" w:pos="5760"/>
        </w:tabs>
        <w:ind w:left="5760" w:hanging="720"/>
      </w:pPr>
    </w:lvl>
    <w:lvl w:ilvl="8" w:tplc="DB56FA6A">
      <w:start w:val="1"/>
      <w:numFmt w:val="decimal"/>
      <w:lvlText w:val="%9."/>
      <w:lvlJc w:val="left"/>
      <w:pPr>
        <w:tabs>
          <w:tab w:val="num" w:pos="6480"/>
        </w:tabs>
        <w:ind w:left="6480" w:hanging="720"/>
      </w:pPr>
    </w:lvl>
  </w:abstractNum>
  <w:abstractNum w:abstractNumId="6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6" w15:restartNumberingAfterBreak="0">
    <w:nsid w:val="5C057D14"/>
    <w:multiLevelType w:val="hybridMultilevel"/>
    <w:tmpl w:val="69B0E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C8C2381"/>
    <w:multiLevelType w:val="hybridMultilevel"/>
    <w:tmpl w:val="970C19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E6D4E20"/>
    <w:multiLevelType w:val="hybridMultilevel"/>
    <w:tmpl w:val="A91E93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15:restartNumberingAfterBreak="0">
    <w:nsid w:val="5F5E5158"/>
    <w:multiLevelType w:val="hybridMultilevel"/>
    <w:tmpl w:val="4E20A2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13E4135"/>
    <w:multiLevelType w:val="hybridMultilevel"/>
    <w:tmpl w:val="A394C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68E1BB1"/>
    <w:multiLevelType w:val="hybridMultilevel"/>
    <w:tmpl w:val="F7FE8160"/>
    <w:lvl w:ilvl="0" w:tplc="A91880FC">
      <w:start w:val="1"/>
      <w:numFmt w:val="bullet"/>
      <w:lvlText w:val="●"/>
      <w:lvlJc w:val="left"/>
      <w:pPr>
        <w:tabs>
          <w:tab w:val="num" w:pos="360"/>
        </w:tabs>
        <w:ind w:left="360" w:hanging="360"/>
      </w:pPr>
      <w:rPr>
        <w:rFonts w:ascii="Ericsson Hilda" w:hAnsi="Ericsson Hilda" w:hint="default"/>
      </w:rPr>
    </w:lvl>
    <w:lvl w:ilvl="1" w:tplc="E8140B20">
      <w:start w:val="1"/>
      <w:numFmt w:val="bullet"/>
      <w:lvlText w:val="●"/>
      <w:lvlJc w:val="left"/>
      <w:pPr>
        <w:tabs>
          <w:tab w:val="num" w:pos="1080"/>
        </w:tabs>
        <w:ind w:left="1080" w:hanging="360"/>
      </w:pPr>
      <w:rPr>
        <w:rFonts w:ascii="Ericsson Hilda" w:hAnsi="Ericsson Hilda" w:hint="default"/>
      </w:rPr>
    </w:lvl>
    <w:lvl w:ilvl="2" w:tplc="4BEAC83C">
      <w:numFmt w:val="bullet"/>
      <w:lvlText w:val="●"/>
      <w:lvlJc w:val="left"/>
      <w:pPr>
        <w:tabs>
          <w:tab w:val="num" w:pos="1800"/>
        </w:tabs>
        <w:ind w:left="1800" w:hanging="360"/>
      </w:pPr>
      <w:rPr>
        <w:rFonts w:ascii="Ericsson Hilda" w:hAnsi="Ericsson Hilda" w:hint="default"/>
      </w:rPr>
    </w:lvl>
    <w:lvl w:ilvl="3" w:tplc="33D83CF2" w:tentative="1">
      <w:start w:val="1"/>
      <w:numFmt w:val="bullet"/>
      <w:lvlText w:val="●"/>
      <w:lvlJc w:val="left"/>
      <w:pPr>
        <w:tabs>
          <w:tab w:val="num" w:pos="2520"/>
        </w:tabs>
        <w:ind w:left="2520" w:hanging="360"/>
      </w:pPr>
      <w:rPr>
        <w:rFonts w:ascii="Ericsson Hilda" w:hAnsi="Ericsson Hilda" w:hint="default"/>
      </w:rPr>
    </w:lvl>
    <w:lvl w:ilvl="4" w:tplc="9914FD8E" w:tentative="1">
      <w:start w:val="1"/>
      <w:numFmt w:val="bullet"/>
      <w:lvlText w:val="●"/>
      <w:lvlJc w:val="left"/>
      <w:pPr>
        <w:tabs>
          <w:tab w:val="num" w:pos="3240"/>
        </w:tabs>
        <w:ind w:left="3240" w:hanging="360"/>
      </w:pPr>
      <w:rPr>
        <w:rFonts w:ascii="Ericsson Hilda" w:hAnsi="Ericsson Hilda" w:hint="default"/>
      </w:rPr>
    </w:lvl>
    <w:lvl w:ilvl="5" w:tplc="C124037E" w:tentative="1">
      <w:start w:val="1"/>
      <w:numFmt w:val="bullet"/>
      <w:lvlText w:val="●"/>
      <w:lvlJc w:val="left"/>
      <w:pPr>
        <w:tabs>
          <w:tab w:val="num" w:pos="3960"/>
        </w:tabs>
        <w:ind w:left="3960" w:hanging="360"/>
      </w:pPr>
      <w:rPr>
        <w:rFonts w:ascii="Ericsson Hilda" w:hAnsi="Ericsson Hilda" w:hint="default"/>
      </w:rPr>
    </w:lvl>
    <w:lvl w:ilvl="6" w:tplc="5C883C58" w:tentative="1">
      <w:start w:val="1"/>
      <w:numFmt w:val="bullet"/>
      <w:lvlText w:val="●"/>
      <w:lvlJc w:val="left"/>
      <w:pPr>
        <w:tabs>
          <w:tab w:val="num" w:pos="4680"/>
        </w:tabs>
        <w:ind w:left="4680" w:hanging="360"/>
      </w:pPr>
      <w:rPr>
        <w:rFonts w:ascii="Ericsson Hilda" w:hAnsi="Ericsson Hilda" w:hint="default"/>
      </w:rPr>
    </w:lvl>
    <w:lvl w:ilvl="7" w:tplc="7E38A378" w:tentative="1">
      <w:start w:val="1"/>
      <w:numFmt w:val="bullet"/>
      <w:lvlText w:val="●"/>
      <w:lvlJc w:val="left"/>
      <w:pPr>
        <w:tabs>
          <w:tab w:val="num" w:pos="5400"/>
        </w:tabs>
        <w:ind w:left="5400" w:hanging="360"/>
      </w:pPr>
      <w:rPr>
        <w:rFonts w:ascii="Ericsson Hilda" w:hAnsi="Ericsson Hilda" w:hint="default"/>
      </w:rPr>
    </w:lvl>
    <w:lvl w:ilvl="8" w:tplc="E1CE1AC8" w:tentative="1">
      <w:start w:val="1"/>
      <w:numFmt w:val="bullet"/>
      <w:lvlText w:val="●"/>
      <w:lvlJc w:val="left"/>
      <w:pPr>
        <w:tabs>
          <w:tab w:val="num" w:pos="6120"/>
        </w:tabs>
        <w:ind w:left="6120" w:hanging="360"/>
      </w:pPr>
      <w:rPr>
        <w:rFonts w:ascii="Ericsson Hilda" w:hAnsi="Ericsson Hilda" w:hint="default"/>
      </w:rPr>
    </w:lvl>
  </w:abstractNum>
  <w:abstractNum w:abstractNumId="72" w15:restartNumberingAfterBreak="0">
    <w:nsid w:val="67C71B27"/>
    <w:multiLevelType w:val="hybridMultilevel"/>
    <w:tmpl w:val="AD7AC044"/>
    <w:lvl w:ilvl="0" w:tplc="7B421454">
      <w:start w:val="1"/>
      <w:numFmt w:val="bullet"/>
      <w:lvlText w:val=""/>
      <w:lvlJc w:val="left"/>
      <w:pPr>
        <w:tabs>
          <w:tab w:val="num" w:pos="720"/>
        </w:tabs>
        <w:ind w:left="720" w:hanging="360"/>
      </w:pPr>
      <w:rPr>
        <w:rFonts w:ascii="Symbol" w:hAnsi="Symbol" w:hint="default"/>
      </w:rPr>
    </w:lvl>
    <w:lvl w:ilvl="1" w:tplc="1CF2C682" w:tentative="1">
      <w:start w:val="1"/>
      <w:numFmt w:val="bullet"/>
      <w:lvlText w:val=""/>
      <w:lvlJc w:val="left"/>
      <w:pPr>
        <w:tabs>
          <w:tab w:val="num" w:pos="1440"/>
        </w:tabs>
        <w:ind w:left="1440" w:hanging="360"/>
      </w:pPr>
      <w:rPr>
        <w:rFonts w:ascii="Symbol" w:hAnsi="Symbol" w:hint="default"/>
      </w:rPr>
    </w:lvl>
    <w:lvl w:ilvl="2" w:tplc="0016B3B4" w:tentative="1">
      <w:start w:val="1"/>
      <w:numFmt w:val="bullet"/>
      <w:lvlText w:val=""/>
      <w:lvlJc w:val="left"/>
      <w:pPr>
        <w:tabs>
          <w:tab w:val="num" w:pos="2160"/>
        </w:tabs>
        <w:ind w:left="2160" w:hanging="360"/>
      </w:pPr>
      <w:rPr>
        <w:rFonts w:ascii="Symbol" w:hAnsi="Symbol" w:hint="default"/>
      </w:rPr>
    </w:lvl>
    <w:lvl w:ilvl="3" w:tplc="73782292" w:tentative="1">
      <w:start w:val="1"/>
      <w:numFmt w:val="bullet"/>
      <w:lvlText w:val=""/>
      <w:lvlJc w:val="left"/>
      <w:pPr>
        <w:tabs>
          <w:tab w:val="num" w:pos="2880"/>
        </w:tabs>
        <w:ind w:left="2880" w:hanging="360"/>
      </w:pPr>
      <w:rPr>
        <w:rFonts w:ascii="Symbol" w:hAnsi="Symbol" w:hint="default"/>
      </w:rPr>
    </w:lvl>
    <w:lvl w:ilvl="4" w:tplc="B0DC7B94" w:tentative="1">
      <w:start w:val="1"/>
      <w:numFmt w:val="bullet"/>
      <w:lvlText w:val=""/>
      <w:lvlJc w:val="left"/>
      <w:pPr>
        <w:tabs>
          <w:tab w:val="num" w:pos="3600"/>
        </w:tabs>
        <w:ind w:left="3600" w:hanging="360"/>
      </w:pPr>
      <w:rPr>
        <w:rFonts w:ascii="Symbol" w:hAnsi="Symbol" w:hint="default"/>
      </w:rPr>
    </w:lvl>
    <w:lvl w:ilvl="5" w:tplc="4F8290CE" w:tentative="1">
      <w:start w:val="1"/>
      <w:numFmt w:val="bullet"/>
      <w:lvlText w:val=""/>
      <w:lvlJc w:val="left"/>
      <w:pPr>
        <w:tabs>
          <w:tab w:val="num" w:pos="4320"/>
        </w:tabs>
        <w:ind w:left="4320" w:hanging="360"/>
      </w:pPr>
      <w:rPr>
        <w:rFonts w:ascii="Symbol" w:hAnsi="Symbol" w:hint="default"/>
      </w:rPr>
    </w:lvl>
    <w:lvl w:ilvl="6" w:tplc="999C88B8" w:tentative="1">
      <w:start w:val="1"/>
      <w:numFmt w:val="bullet"/>
      <w:lvlText w:val=""/>
      <w:lvlJc w:val="left"/>
      <w:pPr>
        <w:tabs>
          <w:tab w:val="num" w:pos="5040"/>
        </w:tabs>
        <w:ind w:left="5040" w:hanging="360"/>
      </w:pPr>
      <w:rPr>
        <w:rFonts w:ascii="Symbol" w:hAnsi="Symbol" w:hint="default"/>
      </w:rPr>
    </w:lvl>
    <w:lvl w:ilvl="7" w:tplc="730AA996" w:tentative="1">
      <w:start w:val="1"/>
      <w:numFmt w:val="bullet"/>
      <w:lvlText w:val=""/>
      <w:lvlJc w:val="left"/>
      <w:pPr>
        <w:tabs>
          <w:tab w:val="num" w:pos="5760"/>
        </w:tabs>
        <w:ind w:left="5760" w:hanging="360"/>
      </w:pPr>
      <w:rPr>
        <w:rFonts w:ascii="Symbol" w:hAnsi="Symbol" w:hint="default"/>
      </w:rPr>
    </w:lvl>
    <w:lvl w:ilvl="8" w:tplc="83908D84" w:tentative="1">
      <w:start w:val="1"/>
      <w:numFmt w:val="bullet"/>
      <w:lvlText w:val=""/>
      <w:lvlJc w:val="left"/>
      <w:pPr>
        <w:tabs>
          <w:tab w:val="num" w:pos="6480"/>
        </w:tabs>
        <w:ind w:left="6480" w:hanging="360"/>
      </w:pPr>
      <w:rPr>
        <w:rFonts w:ascii="Symbol" w:hAnsi="Symbol" w:hint="default"/>
      </w:rPr>
    </w:lvl>
  </w:abstractNum>
  <w:abstractNum w:abstractNumId="73" w15:restartNumberingAfterBreak="0">
    <w:nsid w:val="690D6018"/>
    <w:multiLevelType w:val="hybridMultilevel"/>
    <w:tmpl w:val="70B44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92E60BE"/>
    <w:multiLevelType w:val="hybridMultilevel"/>
    <w:tmpl w:val="35960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D145C38"/>
    <w:multiLevelType w:val="hybridMultilevel"/>
    <w:tmpl w:val="511872A8"/>
    <w:lvl w:ilvl="0" w:tplc="2716E308">
      <w:start w:val="1"/>
      <w:numFmt w:val="bullet"/>
      <w:lvlText w:val="●"/>
      <w:lvlJc w:val="left"/>
      <w:pPr>
        <w:tabs>
          <w:tab w:val="num" w:pos="720"/>
        </w:tabs>
        <w:ind w:left="720" w:hanging="360"/>
      </w:pPr>
      <w:rPr>
        <w:rFonts w:ascii="Ericsson Hilda" w:hAnsi="Ericsson Hilda" w:hint="default"/>
      </w:rPr>
    </w:lvl>
    <w:lvl w:ilvl="1" w:tplc="42ECC6AE" w:tentative="1">
      <w:start w:val="1"/>
      <w:numFmt w:val="bullet"/>
      <w:lvlText w:val="●"/>
      <w:lvlJc w:val="left"/>
      <w:pPr>
        <w:tabs>
          <w:tab w:val="num" w:pos="1440"/>
        </w:tabs>
        <w:ind w:left="1440" w:hanging="360"/>
      </w:pPr>
      <w:rPr>
        <w:rFonts w:ascii="Ericsson Hilda" w:hAnsi="Ericsson Hilda" w:hint="default"/>
      </w:rPr>
    </w:lvl>
    <w:lvl w:ilvl="2" w:tplc="97CABE18">
      <w:start w:val="1"/>
      <w:numFmt w:val="bullet"/>
      <w:lvlText w:val="●"/>
      <w:lvlJc w:val="left"/>
      <w:pPr>
        <w:tabs>
          <w:tab w:val="num" w:pos="2160"/>
        </w:tabs>
        <w:ind w:left="2160" w:hanging="360"/>
      </w:pPr>
      <w:rPr>
        <w:rFonts w:ascii="Ericsson Hilda" w:hAnsi="Ericsson Hilda" w:hint="default"/>
      </w:rPr>
    </w:lvl>
    <w:lvl w:ilvl="3" w:tplc="1554BB3C" w:tentative="1">
      <w:start w:val="1"/>
      <w:numFmt w:val="bullet"/>
      <w:lvlText w:val="●"/>
      <w:lvlJc w:val="left"/>
      <w:pPr>
        <w:tabs>
          <w:tab w:val="num" w:pos="2880"/>
        </w:tabs>
        <w:ind w:left="2880" w:hanging="360"/>
      </w:pPr>
      <w:rPr>
        <w:rFonts w:ascii="Ericsson Hilda" w:hAnsi="Ericsson Hilda" w:hint="default"/>
      </w:rPr>
    </w:lvl>
    <w:lvl w:ilvl="4" w:tplc="6BA88BFA" w:tentative="1">
      <w:start w:val="1"/>
      <w:numFmt w:val="bullet"/>
      <w:lvlText w:val="●"/>
      <w:lvlJc w:val="left"/>
      <w:pPr>
        <w:tabs>
          <w:tab w:val="num" w:pos="3600"/>
        </w:tabs>
        <w:ind w:left="3600" w:hanging="360"/>
      </w:pPr>
      <w:rPr>
        <w:rFonts w:ascii="Ericsson Hilda" w:hAnsi="Ericsson Hilda" w:hint="default"/>
      </w:rPr>
    </w:lvl>
    <w:lvl w:ilvl="5" w:tplc="82C8B964" w:tentative="1">
      <w:start w:val="1"/>
      <w:numFmt w:val="bullet"/>
      <w:lvlText w:val="●"/>
      <w:lvlJc w:val="left"/>
      <w:pPr>
        <w:tabs>
          <w:tab w:val="num" w:pos="4320"/>
        </w:tabs>
        <w:ind w:left="4320" w:hanging="360"/>
      </w:pPr>
      <w:rPr>
        <w:rFonts w:ascii="Ericsson Hilda" w:hAnsi="Ericsson Hilda" w:hint="default"/>
      </w:rPr>
    </w:lvl>
    <w:lvl w:ilvl="6" w:tplc="CBC4CFA8" w:tentative="1">
      <w:start w:val="1"/>
      <w:numFmt w:val="bullet"/>
      <w:lvlText w:val="●"/>
      <w:lvlJc w:val="left"/>
      <w:pPr>
        <w:tabs>
          <w:tab w:val="num" w:pos="5040"/>
        </w:tabs>
        <w:ind w:left="5040" w:hanging="360"/>
      </w:pPr>
      <w:rPr>
        <w:rFonts w:ascii="Ericsson Hilda" w:hAnsi="Ericsson Hilda" w:hint="default"/>
      </w:rPr>
    </w:lvl>
    <w:lvl w:ilvl="7" w:tplc="1CC64EC6" w:tentative="1">
      <w:start w:val="1"/>
      <w:numFmt w:val="bullet"/>
      <w:lvlText w:val="●"/>
      <w:lvlJc w:val="left"/>
      <w:pPr>
        <w:tabs>
          <w:tab w:val="num" w:pos="5760"/>
        </w:tabs>
        <w:ind w:left="5760" w:hanging="360"/>
      </w:pPr>
      <w:rPr>
        <w:rFonts w:ascii="Ericsson Hilda" w:hAnsi="Ericsson Hilda" w:hint="default"/>
      </w:rPr>
    </w:lvl>
    <w:lvl w:ilvl="8" w:tplc="83109A9C" w:tentative="1">
      <w:start w:val="1"/>
      <w:numFmt w:val="bullet"/>
      <w:lvlText w:val="●"/>
      <w:lvlJc w:val="left"/>
      <w:pPr>
        <w:tabs>
          <w:tab w:val="num" w:pos="6480"/>
        </w:tabs>
        <w:ind w:left="6480" w:hanging="360"/>
      </w:pPr>
      <w:rPr>
        <w:rFonts w:ascii="Ericsson Hilda" w:hAnsi="Ericsson Hilda" w:hint="default"/>
      </w:rPr>
    </w:lvl>
  </w:abstractNum>
  <w:abstractNum w:abstractNumId="76"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77" w15:restartNumberingAfterBreak="0">
    <w:nsid w:val="70D151F5"/>
    <w:multiLevelType w:val="hybridMultilevel"/>
    <w:tmpl w:val="CEF8A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1A931DA"/>
    <w:multiLevelType w:val="hybridMultilevel"/>
    <w:tmpl w:val="A75873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21D0109"/>
    <w:multiLevelType w:val="hybridMultilevel"/>
    <w:tmpl w:val="D22EEBF0"/>
    <w:lvl w:ilvl="0" w:tplc="F70AE8E2">
      <w:start w:val="1"/>
      <w:numFmt w:val="bullet"/>
      <w:lvlText w:val=""/>
      <w:lvlJc w:val="left"/>
      <w:pPr>
        <w:tabs>
          <w:tab w:val="num" w:pos="720"/>
        </w:tabs>
        <w:ind w:left="720" w:hanging="360"/>
      </w:pPr>
      <w:rPr>
        <w:rFonts w:ascii="Symbol" w:hAnsi="Symbol" w:hint="default"/>
      </w:rPr>
    </w:lvl>
    <w:lvl w:ilvl="1" w:tplc="ABA66E7A">
      <w:numFmt w:val="bullet"/>
      <w:lvlText w:val="o"/>
      <w:lvlJc w:val="left"/>
      <w:pPr>
        <w:tabs>
          <w:tab w:val="num" w:pos="1440"/>
        </w:tabs>
        <w:ind w:left="1440" w:hanging="360"/>
      </w:pPr>
      <w:rPr>
        <w:rFonts w:ascii="Courier New" w:hAnsi="Courier New" w:hint="default"/>
      </w:rPr>
    </w:lvl>
    <w:lvl w:ilvl="2" w:tplc="CF2A0E8E" w:tentative="1">
      <w:start w:val="1"/>
      <w:numFmt w:val="bullet"/>
      <w:lvlText w:val=""/>
      <w:lvlJc w:val="left"/>
      <w:pPr>
        <w:tabs>
          <w:tab w:val="num" w:pos="2160"/>
        </w:tabs>
        <w:ind w:left="2160" w:hanging="360"/>
      </w:pPr>
      <w:rPr>
        <w:rFonts w:ascii="Symbol" w:hAnsi="Symbol" w:hint="default"/>
      </w:rPr>
    </w:lvl>
    <w:lvl w:ilvl="3" w:tplc="CF00D576" w:tentative="1">
      <w:start w:val="1"/>
      <w:numFmt w:val="bullet"/>
      <w:lvlText w:val=""/>
      <w:lvlJc w:val="left"/>
      <w:pPr>
        <w:tabs>
          <w:tab w:val="num" w:pos="2880"/>
        </w:tabs>
        <w:ind w:left="2880" w:hanging="360"/>
      </w:pPr>
      <w:rPr>
        <w:rFonts w:ascii="Symbol" w:hAnsi="Symbol" w:hint="default"/>
      </w:rPr>
    </w:lvl>
    <w:lvl w:ilvl="4" w:tplc="CF92BA52" w:tentative="1">
      <w:start w:val="1"/>
      <w:numFmt w:val="bullet"/>
      <w:lvlText w:val=""/>
      <w:lvlJc w:val="left"/>
      <w:pPr>
        <w:tabs>
          <w:tab w:val="num" w:pos="3600"/>
        </w:tabs>
        <w:ind w:left="3600" w:hanging="360"/>
      </w:pPr>
      <w:rPr>
        <w:rFonts w:ascii="Symbol" w:hAnsi="Symbol" w:hint="default"/>
      </w:rPr>
    </w:lvl>
    <w:lvl w:ilvl="5" w:tplc="72745874" w:tentative="1">
      <w:start w:val="1"/>
      <w:numFmt w:val="bullet"/>
      <w:lvlText w:val=""/>
      <w:lvlJc w:val="left"/>
      <w:pPr>
        <w:tabs>
          <w:tab w:val="num" w:pos="4320"/>
        </w:tabs>
        <w:ind w:left="4320" w:hanging="360"/>
      </w:pPr>
      <w:rPr>
        <w:rFonts w:ascii="Symbol" w:hAnsi="Symbol" w:hint="default"/>
      </w:rPr>
    </w:lvl>
    <w:lvl w:ilvl="6" w:tplc="EFDA08F8" w:tentative="1">
      <w:start w:val="1"/>
      <w:numFmt w:val="bullet"/>
      <w:lvlText w:val=""/>
      <w:lvlJc w:val="left"/>
      <w:pPr>
        <w:tabs>
          <w:tab w:val="num" w:pos="5040"/>
        </w:tabs>
        <w:ind w:left="5040" w:hanging="360"/>
      </w:pPr>
      <w:rPr>
        <w:rFonts w:ascii="Symbol" w:hAnsi="Symbol" w:hint="default"/>
      </w:rPr>
    </w:lvl>
    <w:lvl w:ilvl="7" w:tplc="7668F58A" w:tentative="1">
      <w:start w:val="1"/>
      <w:numFmt w:val="bullet"/>
      <w:lvlText w:val=""/>
      <w:lvlJc w:val="left"/>
      <w:pPr>
        <w:tabs>
          <w:tab w:val="num" w:pos="5760"/>
        </w:tabs>
        <w:ind w:left="5760" w:hanging="360"/>
      </w:pPr>
      <w:rPr>
        <w:rFonts w:ascii="Symbol" w:hAnsi="Symbol" w:hint="default"/>
      </w:rPr>
    </w:lvl>
    <w:lvl w:ilvl="8" w:tplc="76E225D0" w:tentative="1">
      <w:start w:val="1"/>
      <w:numFmt w:val="bullet"/>
      <w:lvlText w:val=""/>
      <w:lvlJc w:val="left"/>
      <w:pPr>
        <w:tabs>
          <w:tab w:val="num" w:pos="6480"/>
        </w:tabs>
        <w:ind w:left="6480" w:hanging="360"/>
      </w:pPr>
      <w:rPr>
        <w:rFonts w:ascii="Symbol" w:hAnsi="Symbol" w:hint="default"/>
      </w:rPr>
    </w:lvl>
  </w:abstractNum>
  <w:abstractNum w:abstractNumId="80" w15:restartNumberingAfterBreak="0">
    <w:nsid w:val="723E100A"/>
    <w:multiLevelType w:val="hybridMultilevel"/>
    <w:tmpl w:val="22822096"/>
    <w:lvl w:ilvl="0" w:tplc="166A3800">
      <w:start w:val="1"/>
      <w:numFmt w:val="decimal"/>
      <w:lvlText w:val="Proposal %1"/>
      <w:lvlJc w:val="left"/>
      <w:pPr>
        <w:tabs>
          <w:tab w:val="num" w:pos="1304"/>
        </w:tabs>
        <w:ind w:left="1304" w:hanging="1304"/>
      </w:pPr>
      <w:rPr>
        <w:rFonts w:hint="default"/>
        <w:b/>
        <w:bCs/>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7274256D"/>
    <w:multiLevelType w:val="hybridMultilevel"/>
    <w:tmpl w:val="E43A3C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2A73797"/>
    <w:multiLevelType w:val="hybridMultilevel"/>
    <w:tmpl w:val="5B9846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84" w15:restartNumberingAfterBreak="0">
    <w:nsid w:val="76206FD8"/>
    <w:multiLevelType w:val="hybridMultilevel"/>
    <w:tmpl w:val="6D3618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7165787"/>
    <w:multiLevelType w:val="hybridMultilevel"/>
    <w:tmpl w:val="0C4C3EC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6" w15:restartNumberingAfterBreak="0">
    <w:nsid w:val="7879102B"/>
    <w:multiLevelType w:val="hybridMultilevel"/>
    <w:tmpl w:val="E3FCFC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C8019F1"/>
    <w:multiLevelType w:val="hybridMultilevel"/>
    <w:tmpl w:val="AE3A81E2"/>
    <w:lvl w:ilvl="0" w:tplc="04090001">
      <w:start w:val="3"/>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C9D53D1"/>
    <w:multiLevelType w:val="hybridMultilevel"/>
    <w:tmpl w:val="8004C21C"/>
    <w:lvl w:ilvl="0" w:tplc="4B1E0F9E">
      <w:start w:val="1"/>
      <w:numFmt w:val="bullet"/>
      <w:lvlText w:val="●"/>
      <w:lvlJc w:val="left"/>
      <w:pPr>
        <w:tabs>
          <w:tab w:val="num" w:pos="720"/>
        </w:tabs>
        <w:ind w:left="720" w:hanging="360"/>
      </w:pPr>
      <w:rPr>
        <w:rFonts w:ascii="Ericsson Hilda" w:hAnsi="Ericsson Hilda" w:hint="default"/>
      </w:rPr>
    </w:lvl>
    <w:lvl w:ilvl="1" w:tplc="872AEC38" w:tentative="1">
      <w:start w:val="1"/>
      <w:numFmt w:val="bullet"/>
      <w:lvlText w:val="●"/>
      <w:lvlJc w:val="left"/>
      <w:pPr>
        <w:tabs>
          <w:tab w:val="num" w:pos="1440"/>
        </w:tabs>
        <w:ind w:left="1440" w:hanging="360"/>
      </w:pPr>
      <w:rPr>
        <w:rFonts w:ascii="Ericsson Hilda" w:hAnsi="Ericsson Hilda" w:hint="default"/>
      </w:rPr>
    </w:lvl>
    <w:lvl w:ilvl="2" w:tplc="C81A0DDA" w:tentative="1">
      <w:start w:val="1"/>
      <w:numFmt w:val="bullet"/>
      <w:lvlText w:val="●"/>
      <w:lvlJc w:val="left"/>
      <w:pPr>
        <w:tabs>
          <w:tab w:val="num" w:pos="2160"/>
        </w:tabs>
        <w:ind w:left="2160" w:hanging="360"/>
      </w:pPr>
      <w:rPr>
        <w:rFonts w:ascii="Ericsson Hilda" w:hAnsi="Ericsson Hilda" w:hint="default"/>
      </w:rPr>
    </w:lvl>
    <w:lvl w:ilvl="3" w:tplc="A6B4C1F0" w:tentative="1">
      <w:start w:val="1"/>
      <w:numFmt w:val="bullet"/>
      <w:lvlText w:val="●"/>
      <w:lvlJc w:val="left"/>
      <w:pPr>
        <w:tabs>
          <w:tab w:val="num" w:pos="2880"/>
        </w:tabs>
        <w:ind w:left="2880" w:hanging="360"/>
      </w:pPr>
      <w:rPr>
        <w:rFonts w:ascii="Ericsson Hilda" w:hAnsi="Ericsson Hilda" w:hint="default"/>
      </w:rPr>
    </w:lvl>
    <w:lvl w:ilvl="4" w:tplc="AF5CEA4C" w:tentative="1">
      <w:start w:val="1"/>
      <w:numFmt w:val="bullet"/>
      <w:lvlText w:val="●"/>
      <w:lvlJc w:val="left"/>
      <w:pPr>
        <w:tabs>
          <w:tab w:val="num" w:pos="3600"/>
        </w:tabs>
        <w:ind w:left="3600" w:hanging="360"/>
      </w:pPr>
      <w:rPr>
        <w:rFonts w:ascii="Ericsson Hilda" w:hAnsi="Ericsson Hilda" w:hint="default"/>
      </w:rPr>
    </w:lvl>
    <w:lvl w:ilvl="5" w:tplc="005AEF82" w:tentative="1">
      <w:start w:val="1"/>
      <w:numFmt w:val="bullet"/>
      <w:lvlText w:val="●"/>
      <w:lvlJc w:val="left"/>
      <w:pPr>
        <w:tabs>
          <w:tab w:val="num" w:pos="4320"/>
        </w:tabs>
        <w:ind w:left="4320" w:hanging="360"/>
      </w:pPr>
      <w:rPr>
        <w:rFonts w:ascii="Ericsson Hilda" w:hAnsi="Ericsson Hilda" w:hint="default"/>
      </w:rPr>
    </w:lvl>
    <w:lvl w:ilvl="6" w:tplc="FF24BC06" w:tentative="1">
      <w:start w:val="1"/>
      <w:numFmt w:val="bullet"/>
      <w:lvlText w:val="●"/>
      <w:lvlJc w:val="left"/>
      <w:pPr>
        <w:tabs>
          <w:tab w:val="num" w:pos="5040"/>
        </w:tabs>
        <w:ind w:left="5040" w:hanging="360"/>
      </w:pPr>
      <w:rPr>
        <w:rFonts w:ascii="Ericsson Hilda" w:hAnsi="Ericsson Hilda" w:hint="default"/>
      </w:rPr>
    </w:lvl>
    <w:lvl w:ilvl="7" w:tplc="CD4A2684" w:tentative="1">
      <w:start w:val="1"/>
      <w:numFmt w:val="bullet"/>
      <w:lvlText w:val="●"/>
      <w:lvlJc w:val="left"/>
      <w:pPr>
        <w:tabs>
          <w:tab w:val="num" w:pos="5760"/>
        </w:tabs>
        <w:ind w:left="5760" w:hanging="360"/>
      </w:pPr>
      <w:rPr>
        <w:rFonts w:ascii="Ericsson Hilda" w:hAnsi="Ericsson Hilda" w:hint="default"/>
      </w:rPr>
    </w:lvl>
    <w:lvl w:ilvl="8" w:tplc="0944BC1E">
      <w:numFmt w:val="bullet"/>
      <w:lvlText w:val="●"/>
      <w:lvlJc w:val="left"/>
      <w:pPr>
        <w:tabs>
          <w:tab w:val="num" w:pos="6480"/>
        </w:tabs>
        <w:ind w:left="6480" w:hanging="360"/>
      </w:pPr>
      <w:rPr>
        <w:rFonts w:ascii="Ericsson Hilda" w:hAnsi="Ericsson Hilda" w:hint="default"/>
      </w:rPr>
    </w:lvl>
  </w:abstractNum>
  <w:abstractNum w:abstractNumId="89" w15:restartNumberingAfterBreak="0">
    <w:nsid w:val="7E2F189A"/>
    <w:multiLevelType w:val="hybridMultilevel"/>
    <w:tmpl w:val="E97858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E612731"/>
    <w:multiLevelType w:val="hybridMultilevel"/>
    <w:tmpl w:val="6E6C8018"/>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F1A51D6"/>
    <w:multiLevelType w:val="hybridMultilevel"/>
    <w:tmpl w:val="65EA5600"/>
    <w:lvl w:ilvl="0" w:tplc="5E60FE74">
      <w:start w:val="1"/>
      <w:numFmt w:val="lowerLetter"/>
      <w:lvlText w:val="(%1)"/>
      <w:lvlJc w:val="left"/>
      <w:pPr>
        <w:ind w:left="3210" w:hanging="360"/>
      </w:pPr>
      <w:rPr>
        <w:rFonts w:hint="default"/>
      </w:rPr>
    </w:lvl>
    <w:lvl w:ilvl="1" w:tplc="04090019" w:tentative="1">
      <w:start w:val="1"/>
      <w:numFmt w:val="lowerLetter"/>
      <w:lvlText w:val="%2."/>
      <w:lvlJc w:val="left"/>
      <w:pPr>
        <w:ind w:left="3930" w:hanging="360"/>
      </w:pPr>
    </w:lvl>
    <w:lvl w:ilvl="2" w:tplc="0409001B" w:tentative="1">
      <w:start w:val="1"/>
      <w:numFmt w:val="lowerRoman"/>
      <w:lvlText w:val="%3."/>
      <w:lvlJc w:val="right"/>
      <w:pPr>
        <w:ind w:left="4650" w:hanging="180"/>
      </w:pPr>
    </w:lvl>
    <w:lvl w:ilvl="3" w:tplc="0409000F" w:tentative="1">
      <w:start w:val="1"/>
      <w:numFmt w:val="decimal"/>
      <w:lvlText w:val="%4."/>
      <w:lvlJc w:val="left"/>
      <w:pPr>
        <w:ind w:left="5370" w:hanging="360"/>
      </w:pPr>
    </w:lvl>
    <w:lvl w:ilvl="4" w:tplc="04090019" w:tentative="1">
      <w:start w:val="1"/>
      <w:numFmt w:val="lowerLetter"/>
      <w:lvlText w:val="%5."/>
      <w:lvlJc w:val="left"/>
      <w:pPr>
        <w:ind w:left="6090" w:hanging="360"/>
      </w:pPr>
    </w:lvl>
    <w:lvl w:ilvl="5" w:tplc="0409001B" w:tentative="1">
      <w:start w:val="1"/>
      <w:numFmt w:val="lowerRoman"/>
      <w:lvlText w:val="%6."/>
      <w:lvlJc w:val="right"/>
      <w:pPr>
        <w:ind w:left="6810" w:hanging="180"/>
      </w:pPr>
    </w:lvl>
    <w:lvl w:ilvl="6" w:tplc="0409000F" w:tentative="1">
      <w:start w:val="1"/>
      <w:numFmt w:val="decimal"/>
      <w:lvlText w:val="%7."/>
      <w:lvlJc w:val="left"/>
      <w:pPr>
        <w:ind w:left="7530" w:hanging="360"/>
      </w:pPr>
    </w:lvl>
    <w:lvl w:ilvl="7" w:tplc="04090019" w:tentative="1">
      <w:start w:val="1"/>
      <w:numFmt w:val="lowerLetter"/>
      <w:lvlText w:val="%8."/>
      <w:lvlJc w:val="left"/>
      <w:pPr>
        <w:ind w:left="8250" w:hanging="360"/>
      </w:pPr>
    </w:lvl>
    <w:lvl w:ilvl="8" w:tplc="0409001B" w:tentative="1">
      <w:start w:val="1"/>
      <w:numFmt w:val="lowerRoman"/>
      <w:lvlText w:val="%9."/>
      <w:lvlJc w:val="right"/>
      <w:pPr>
        <w:ind w:left="8970" w:hanging="180"/>
      </w:pPr>
    </w:lvl>
  </w:abstractNum>
  <w:num w:numId="1">
    <w:abstractNumId w:val="51"/>
  </w:num>
  <w:num w:numId="2">
    <w:abstractNumId w:val="43"/>
  </w:num>
  <w:num w:numId="3">
    <w:abstractNumId w:val="0"/>
  </w:num>
  <w:num w:numId="4">
    <w:abstractNumId w:val="56"/>
  </w:num>
  <w:num w:numId="5">
    <w:abstractNumId w:val="57"/>
  </w:num>
  <w:num w:numId="6">
    <w:abstractNumId w:val="65"/>
  </w:num>
  <w:num w:numId="7">
    <w:abstractNumId w:val="18"/>
  </w:num>
  <w:num w:numId="8">
    <w:abstractNumId w:val="26"/>
  </w:num>
  <w:num w:numId="9">
    <w:abstractNumId w:val="8"/>
  </w:num>
  <w:num w:numId="10">
    <w:abstractNumId w:val="83"/>
  </w:num>
  <w:num w:numId="11">
    <w:abstractNumId w:val="38"/>
  </w:num>
  <w:num w:numId="12">
    <w:abstractNumId w:val="76"/>
  </w:num>
  <w:num w:numId="13">
    <w:abstractNumId w:val="39"/>
  </w:num>
  <w:num w:numId="14">
    <w:abstractNumId w:val="63"/>
  </w:num>
  <w:num w:numId="15">
    <w:abstractNumId w:val="10"/>
  </w:num>
  <w:num w:numId="16">
    <w:abstractNumId w:val="74"/>
  </w:num>
  <w:num w:numId="17">
    <w:abstractNumId w:val="61"/>
  </w:num>
  <w:num w:numId="18">
    <w:abstractNumId w:val="49"/>
  </w:num>
  <w:num w:numId="19">
    <w:abstractNumId w:val="47"/>
  </w:num>
  <w:num w:numId="20">
    <w:abstractNumId w:val="62"/>
  </w:num>
  <w:num w:numId="21">
    <w:abstractNumId w:val="5"/>
  </w:num>
  <w:num w:numId="22">
    <w:abstractNumId w:val="78"/>
  </w:num>
  <w:num w:numId="23">
    <w:abstractNumId w:val="67"/>
  </w:num>
  <w:num w:numId="24">
    <w:abstractNumId w:val="50"/>
  </w:num>
  <w:num w:numId="25">
    <w:abstractNumId w:val="22"/>
  </w:num>
  <w:num w:numId="26">
    <w:abstractNumId w:val="30"/>
  </w:num>
  <w:num w:numId="27">
    <w:abstractNumId w:val="21"/>
  </w:num>
  <w:num w:numId="28">
    <w:abstractNumId w:val="29"/>
  </w:num>
  <w:num w:numId="29">
    <w:abstractNumId w:val="11"/>
  </w:num>
  <w:num w:numId="30">
    <w:abstractNumId w:val="12"/>
  </w:num>
  <w:num w:numId="31">
    <w:abstractNumId w:val="52"/>
  </w:num>
  <w:num w:numId="32">
    <w:abstractNumId w:val="66"/>
  </w:num>
  <w:num w:numId="33">
    <w:abstractNumId w:val="17"/>
  </w:num>
  <w:num w:numId="34">
    <w:abstractNumId w:val="3"/>
  </w:num>
  <w:num w:numId="35">
    <w:abstractNumId w:val="72"/>
  </w:num>
  <w:num w:numId="36">
    <w:abstractNumId w:val="58"/>
  </w:num>
  <w:num w:numId="37">
    <w:abstractNumId w:val="32"/>
  </w:num>
  <w:num w:numId="38">
    <w:abstractNumId w:val="84"/>
  </w:num>
  <w:num w:numId="39">
    <w:abstractNumId w:val="20"/>
  </w:num>
  <w:num w:numId="40">
    <w:abstractNumId w:val="31"/>
  </w:num>
  <w:num w:numId="41">
    <w:abstractNumId w:val="33"/>
  </w:num>
  <w:num w:numId="42">
    <w:abstractNumId w:val="54"/>
  </w:num>
  <w:num w:numId="43">
    <w:abstractNumId w:val="44"/>
  </w:num>
  <w:num w:numId="44">
    <w:abstractNumId w:val="79"/>
  </w:num>
  <w:num w:numId="45">
    <w:abstractNumId w:val="69"/>
  </w:num>
  <w:num w:numId="46">
    <w:abstractNumId w:val="89"/>
  </w:num>
  <w:num w:numId="47">
    <w:abstractNumId w:val="36"/>
  </w:num>
  <w:num w:numId="48">
    <w:abstractNumId w:val="14"/>
  </w:num>
  <w:num w:numId="49">
    <w:abstractNumId w:val="82"/>
  </w:num>
  <w:num w:numId="50">
    <w:abstractNumId w:val="81"/>
  </w:num>
  <w:num w:numId="51">
    <w:abstractNumId w:val="42"/>
  </w:num>
  <w:num w:numId="52">
    <w:abstractNumId w:val="13"/>
  </w:num>
  <w:num w:numId="53">
    <w:abstractNumId w:val="75"/>
  </w:num>
  <w:num w:numId="54">
    <w:abstractNumId w:val="6"/>
  </w:num>
  <w:num w:numId="55">
    <w:abstractNumId w:val="9"/>
  </w:num>
  <w:num w:numId="56">
    <w:abstractNumId w:val="40"/>
  </w:num>
  <w:num w:numId="57">
    <w:abstractNumId w:val="7"/>
  </w:num>
  <w:num w:numId="58">
    <w:abstractNumId w:val="25"/>
  </w:num>
  <w:num w:numId="59">
    <w:abstractNumId w:val="27"/>
  </w:num>
  <w:num w:numId="60">
    <w:abstractNumId w:val="37"/>
  </w:num>
  <w:num w:numId="61">
    <w:abstractNumId w:val="19"/>
  </w:num>
  <w:num w:numId="62">
    <w:abstractNumId w:val="88"/>
  </w:num>
  <w:num w:numId="63">
    <w:abstractNumId w:val="85"/>
  </w:num>
  <w:num w:numId="64">
    <w:abstractNumId w:val="34"/>
  </w:num>
  <w:num w:numId="65">
    <w:abstractNumId w:val="77"/>
  </w:num>
  <w:num w:numId="66">
    <w:abstractNumId w:val="71"/>
  </w:num>
  <w:num w:numId="67">
    <w:abstractNumId w:val="59"/>
  </w:num>
  <w:num w:numId="68">
    <w:abstractNumId w:val="90"/>
  </w:num>
  <w:num w:numId="69">
    <w:abstractNumId w:val="45"/>
  </w:num>
  <w:num w:numId="70">
    <w:abstractNumId w:val="70"/>
  </w:num>
  <w:num w:numId="71">
    <w:abstractNumId w:val="64"/>
  </w:num>
  <w:num w:numId="72">
    <w:abstractNumId w:val="16"/>
  </w:num>
  <w:num w:numId="73">
    <w:abstractNumId w:val="24"/>
  </w:num>
  <w:num w:numId="74">
    <w:abstractNumId w:val="46"/>
  </w:num>
  <w:num w:numId="75">
    <w:abstractNumId w:val="23"/>
  </w:num>
  <w:num w:numId="76">
    <w:abstractNumId w:val="80"/>
  </w:num>
  <w:num w:numId="77">
    <w:abstractNumId w:val="15"/>
  </w:num>
  <w:num w:numId="78">
    <w:abstractNumId w:val="1"/>
  </w:num>
  <w:num w:numId="79">
    <w:abstractNumId w:val="28"/>
  </w:num>
  <w:num w:numId="80">
    <w:abstractNumId w:val="41"/>
  </w:num>
  <w:num w:numId="81">
    <w:abstractNumId w:val="87"/>
  </w:num>
  <w:num w:numId="82">
    <w:abstractNumId w:val="60"/>
  </w:num>
  <w:num w:numId="83">
    <w:abstractNumId w:val="2"/>
  </w:num>
  <w:num w:numId="84">
    <w:abstractNumId w:val="86"/>
  </w:num>
  <w:num w:numId="85">
    <w:abstractNumId w:val="73"/>
  </w:num>
  <w:num w:numId="86">
    <w:abstractNumId w:val="55"/>
  </w:num>
  <w:num w:numId="87">
    <w:abstractNumId w:val="91"/>
  </w:num>
  <w:num w:numId="88">
    <w:abstractNumId w:val="35"/>
  </w:num>
  <w:num w:numId="89">
    <w:abstractNumId w:val="4"/>
  </w:num>
  <w:num w:numId="90">
    <w:abstractNumId w:val="48"/>
  </w:num>
  <w:num w:numId="91">
    <w:abstractNumId w:val="53"/>
  </w:num>
  <w:num w:numId="92">
    <w:abstractNumId w:val="55"/>
  </w:num>
  <w:num w:numId="93">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DateAndTime/>
  <w:proofState w:spelling="clean" w:grammar="clean"/>
  <w:revisionView w:formatting="0"/>
  <w:defaultTabStop w:val="720"/>
  <w:hyphenationZone w:val="425"/>
  <w:characterSpacingControl w:val="doNotCompress"/>
  <w:hdrShapeDefaults>
    <o:shapedefaults v:ext="edit" spidmax="31745"/>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2C71"/>
    <w:rsid w:val="0000021E"/>
    <w:rsid w:val="000003FD"/>
    <w:rsid w:val="0000080F"/>
    <w:rsid w:val="000009D5"/>
    <w:rsid w:val="00001030"/>
    <w:rsid w:val="00002B3C"/>
    <w:rsid w:val="0000301E"/>
    <w:rsid w:val="0000358D"/>
    <w:rsid w:val="00003695"/>
    <w:rsid w:val="000036D8"/>
    <w:rsid w:val="000037DF"/>
    <w:rsid w:val="00003821"/>
    <w:rsid w:val="00003FD9"/>
    <w:rsid w:val="00004C64"/>
    <w:rsid w:val="00005CAB"/>
    <w:rsid w:val="00005D10"/>
    <w:rsid w:val="00005E27"/>
    <w:rsid w:val="00006261"/>
    <w:rsid w:val="00006BF2"/>
    <w:rsid w:val="00007241"/>
    <w:rsid w:val="000072A6"/>
    <w:rsid w:val="000073DA"/>
    <w:rsid w:val="00007656"/>
    <w:rsid w:val="00007881"/>
    <w:rsid w:val="00007AB6"/>
    <w:rsid w:val="00007D49"/>
    <w:rsid w:val="000100B5"/>
    <w:rsid w:val="0001022C"/>
    <w:rsid w:val="00010C28"/>
    <w:rsid w:val="000114CC"/>
    <w:rsid w:val="00011EA6"/>
    <w:rsid w:val="00011F30"/>
    <w:rsid w:val="00012059"/>
    <w:rsid w:val="000120D5"/>
    <w:rsid w:val="000126C8"/>
    <w:rsid w:val="00012953"/>
    <w:rsid w:val="000129C1"/>
    <w:rsid w:val="00012BB6"/>
    <w:rsid w:val="000134B8"/>
    <w:rsid w:val="0001364D"/>
    <w:rsid w:val="000136B4"/>
    <w:rsid w:val="00013778"/>
    <w:rsid w:val="000138A9"/>
    <w:rsid w:val="00013A89"/>
    <w:rsid w:val="00013D1B"/>
    <w:rsid w:val="00013D7D"/>
    <w:rsid w:val="00013F9B"/>
    <w:rsid w:val="00013FE2"/>
    <w:rsid w:val="00014065"/>
    <w:rsid w:val="00014516"/>
    <w:rsid w:val="000152BA"/>
    <w:rsid w:val="0001625B"/>
    <w:rsid w:val="00016596"/>
    <w:rsid w:val="000168B6"/>
    <w:rsid w:val="00016BD9"/>
    <w:rsid w:val="00017019"/>
    <w:rsid w:val="00017022"/>
    <w:rsid w:val="00017B8B"/>
    <w:rsid w:val="000206AE"/>
    <w:rsid w:val="000206E0"/>
    <w:rsid w:val="0002114E"/>
    <w:rsid w:val="000212D0"/>
    <w:rsid w:val="000215DC"/>
    <w:rsid w:val="00021695"/>
    <w:rsid w:val="00021847"/>
    <w:rsid w:val="00021B75"/>
    <w:rsid w:val="0002205C"/>
    <w:rsid w:val="0002212C"/>
    <w:rsid w:val="0002258F"/>
    <w:rsid w:val="00022603"/>
    <w:rsid w:val="0002274E"/>
    <w:rsid w:val="00022D7F"/>
    <w:rsid w:val="00023296"/>
    <w:rsid w:val="00023508"/>
    <w:rsid w:val="00023A37"/>
    <w:rsid w:val="00023E7D"/>
    <w:rsid w:val="00023EEE"/>
    <w:rsid w:val="000241A3"/>
    <w:rsid w:val="000247BF"/>
    <w:rsid w:val="00024B72"/>
    <w:rsid w:val="00024CF6"/>
    <w:rsid w:val="000250D1"/>
    <w:rsid w:val="000254AD"/>
    <w:rsid w:val="000256F8"/>
    <w:rsid w:val="000258B9"/>
    <w:rsid w:val="00026AC8"/>
    <w:rsid w:val="00026AFC"/>
    <w:rsid w:val="00026CBD"/>
    <w:rsid w:val="00026DE2"/>
    <w:rsid w:val="00027554"/>
    <w:rsid w:val="00027A47"/>
    <w:rsid w:val="00027A55"/>
    <w:rsid w:val="00027C85"/>
    <w:rsid w:val="00030133"/>
    <w:rsid w:val="00031170"/>
    <w:rsid w:val="00031271"/>
    <w:rsid w:val="0003145C"/>
    <w:rsid w:val="0003182A"/>
    <w:rsid w:val="0003239F"/>
    <w:rsid w:val="00032638"/>
    <w:rsid w:val="00032732"/>
    <w:rsid w:val="00032EE5"/>
    <w:rsid w:val="000331C0"/>
    <w:rsid w:val="000338A9"/>
    <w:rsid w:val="000338B7"/>
    <w:rsid w:val="00033D49"/>
    <w:rsid w:val="000343A3"/>
    <w:rsid w:val="000343C5"/>
    <w:rsid w:val="000347C2"/>
    <w:rsid w:val="000352C0"/>
    <w:rsid w:val="00035313"/>
    <w:rsid w:val="00035354"/>
    <w:rsid w:val="000353DD"/>
    <w:rsid w:val="000353F4"/>
    <w:rsid w:val="0003542C"/>
    <w:rsid w:val="000355E1"/>
    <w:rsid w:val="000357EF"/>
    <w:rsid w:val="00035B82"/>
    <w:rsid w:val="00035E3E"/>
    <w:rsid w:val="00035FD1"/>
    <w:rsid w:val="00036070"/>
    <w:rsid w:val="00036098"/>
    <w:rsid w:val="0003620E"/>
    <w:rsid w:val="00036541"/>
    <w:rsid w:val="000368B0"/>
    <w:rsid w:val="00036974"/>
    <w:rsid w:val="00036A5E"/>
    <w:rsid w:val="00036E9F"/>
    <w:rsid w:val="00037093"/>
    <w:rsid w:val="0003711D"/>
    <w:rsid w:val="00037167"/>
    <w:rsid w:val="00037680"/>
    <w:rsid w:val="0003788E"/>
    <w:rsid w:val="00037981"/>
    <w:rsid w:val="00037F73"/>
    <w:rsid w:val="0004024C"/>
    <w:rsid w:val="000407E8"/>
    <w:rsid w:val="00040CF6"/>
    <w:rsid w:val="000411DE"/>
    <w:rsid w:val="000415D8"/>
    <w:rsid w:val="00041858"/>
    <w:rsid w:val="00041DE7"/>
    <w:rsid w:val="00041E49"/>
    <w:rsid w:val="00042285"/>
    <w:rsid w:val="000425E1"/>
    <w:rsid w:val="00042B51"/>
    <w:rsid w:val="00042C6F"/>
    <w:rsid w:val="00043321"/>
    <w:rsid w:val="000437A2"/>
    <w:rsid w:val="000437BA"/>
    <w:rsid w:val="00044521"/>
    <w:rsid w:val="0004465D"/>
    <w:rsid w:val="00044699"/>
    <w:rsid w:val="00044E9D"/>
    <w:rsid w:val="00044F01"/>
    <w:rsid w:val="000455F9"/>
    <w:rsid w:val="00045D1C"/>
    <w:rsid w:val="000462A6"/>
    <w:rsid w:val="00046D77"/>
    <w:rsid w:val="00046DFB"/>
    <w:rsid w:val="00047F56"/>
    <w:rsid w:val="000508C5"/>
    <w:rsid w:val="00050FBE"/>
    <w:rsid w:val="00051164"/>
    <w:rsid w:val="000513CD"/>
    <w:rsid w:val="0005168C"/>
    <w:rsid w:val="000516D0"/>
    <w:rsid w:val="00051721"/>
    <w:rsid w:val="00051771"/>
    <w:rsid w:val="000519E3"/>
    <w:rsid w:val="00051C27"/>
    <w:rsid w:val="00051F50"/>
    <w:rsid w:val="000521F3"/>
    <w:rsid w:val="00052327"/>
    <w:rsid w:val="00052743"/>
    <w:rsid w:val="0005295A"/>
    <w:rsid w:val="0005328E"/>
    <w:rsid w:val="000534A8"/>
    <w:rsid w:val="000534C9"/>
    <w:rsid w:val="00053502"/>
    <w:rsid w:val="0005399C"/>
    <w:rsid w:val="00053EAA"/>
    <w:rsid w:val="00054241"/>
    <w:rsid w:val="0005431E"/>
    <w:rsid w:val="00054DB7"/>
    <w:rsid w:val="00055328"/>
    <w:rsid w:val="00055A9D"/>
    <w:rsid w:val="00055CA6"/>
    <w:rsid w:val="00055F8A"/>
    <w:rsid w:val="00056033"/>
    <w:rsid w:val="000565AA"/>
    <w:rsid w:val="00057002"/>
    <w:rsid w:val="000570BF"/>
    <w:rsid w:val="000575F9"/>
    <w:rsid w:val="00057ABF"/>
    <w:rsid w:val="00061433"/>
    <w:rsid w:val="000614A9"/>
    <w:rsid w:val="000619AB"/>
    <w:rsid w:val="0006241C"/>
    <w:rsid w:val="000624A4"/>
    <w:rsid w:val="000624B1"/>
    <w:rsid w:val="000624CA"/>
    <w:rsid w:val="00062625"/>
    <w:rsid w:val="00062C20"/>
    <w:rsid w:val="00062EBC"/>
    <w:rsid w:val="00063058"/>
    <w:rsid w:val="0006448C"/>
    <w:rsid w:val="00064621"/>
    <w:rsid w:val="00064B79"/>
    <w:rsid w:val="00065779"/>
    <w:rsid w:val="00065DA0"/>
    <w:rsid w:val="00066554"/>
    <w:rsid w:val="000666C5"/>
    <w:rsid w:val="00066957"/>
    <w:rsid w:val="00067830"/>
    <w:rsid w:val="00067903"/>
    <w:rsid w:val="00067FF7"/>
    <w:rsid w:val="000708B4"/>
    <w:rsid w:val="000708E3"/>
    <w:rsid w:val="000710BE"/>
    <w:rsid w:val="0007188B"/>
    <w:rsid w:val="00071BB9"/>
    <w:rsid w:val="00071FE9"/>
    <w:rsid w:val="00072047"/>
    <w:rsid w:val="00072242"/>
    <w:rsid w:val="0007224E"/>
    <w:rsid w:val="000722A6"/>
    <w:rsid w:val="000723F2"/>
    <w:rsid w:val="0007251C"/>
    <w:rsid w:val="00072859"/>
    <w:rsid w:val="00072883"/>
    <w:rsid w:val="000728BA"/>
    <w:rsid w:val="00073051"/>
    <w:rsid w:val="000736A9"/>
    <w:rsid w:val="000739DB"/>
    <w:rsid w:val="00073E97"/>
    <w:rsid w:val="00073F6C"/>
    <w:rsid w:val="0007409E"/>
    <w:rsid w:val="000744F6"/>
    <w:rsid w:val="00074594"/>
    <w:rsid w:val="000748F5"/>
    <w:rsid w:val="00074A24"/>
    <w:rsid w:val="00074C9F"/>
    <w:rsid w:val="000754FF"/>
    <w:rsid w:val="00076348"/>
    <w:rsid w:val="000763FF"/>
    <w:rsid w:val="000764EF"/>
    <w:rsid w:val="000765A3"/>
    <w:rsid w:val="00080139"/>
    <w:rsid w:val="00080547"/>
    <w:rsid w:val="000805E9"/>
    <w:rsid w:val="0008070E"/>
    <w:rsid w:val="00080F33"/>
    <w:rsid w:val="00081080"/>
    <w:rsid w:val="00081097"/>
    <w:rsid w:val="000810D0"/>
    <w:rsid w:val="0008112C"/>
    <w:rsid w:val="000816D1"/>
    <w:rsid w:val="00081C85"/>
    <w:rsid w:val="00081E68"/>
    <w:rsid w:val="00082124"/>
    <w:rsid w:val="00082207"/>
    <w:rsid w:val="000829F3"/>
    <w:rsid w:val="00082BCA"/>
    <w:rsid w:val="00082BD4"/>
    <w:rsid w:val="00082D57"/>
    <w:rsid w:val="00083684"/>
    <w:rsid w:val="000836D2"/>
    <w:rsid w:val="00083CD3"/>
    <w:rsid w:val="00084587"/>
    <w:rsid w:val="00084613"/>
    <w:rsid w:val="00084D39"/>
    <w:rsid w:val="00084E7D"/>
    <w:rsid w:val="0008555E"/>
    <w:rsid w:val="000862C5"/>
    <w:rsid w:val="000865BE"/>
    <w:rsid w:val="0008665B"/>
    <w:rsid w:val="000866F4"/>
    <w:rsid w:val="00086C21"/>
    <w:rsid w:val="00086DC6"/>
    <w:rsid w:val="00086F66"/>
    <w:rsid w:val="000874F0"/>
    <w:rsid w:val="00087609"/>
    <w:rsid w:val="0008785C"/>
    <w:rsid w:val="0008791B"/>
    <w:rsid w:val="00087BE7"/>
    <w:rsid w:val="00090064"/>
    <w:rsid w:val="0009072A"/>
    <w:rsid w:val="00090883"/>
    <w:rsid w:val="000909B8"/>
    <w:rsid w:val="0009114F"/>
    <w:rsid w:val="000913A6"/>
    <w:rsid w:val="00091405"/>
    <w:rsid w:val="00091C59"/>
    <w:rsid w:val="00091E7B"/>
    <w:rsid w:val="00092C92"/>
    <w:rsid w:val="0009308D"/>
    <w:rsid w:val="000932E6"/>
    <w:rsid w:val="0009391F"/>
    <w:rsid w:val="00093959"/>
    <w:rsid w:val="00093C77"/>
    <w:rsid w:val="00095377"/>
    <w:rsid w:val="0009541B"/>
    <w:rsid w:val="00095634"/>
    <w:rsid w:val="00095ABE"/>
    <w:rsid w:val="000964CF"/>
    <w:rsid w:val="00096C95"/>
    <w:rsid w:val="0009717D"/>
    <w:rsid w:val="000A0502"/>
    <w:rsid w:val="000A0543"/>
    <w:rsid w:val="000A0562"/>
    <w:rsid w:val="000A097E"/>
    <w:rsid w:val="000A0A76"/>
    <w:rsid w:val="000A0B80"/>
    <w:rsid w:val="000A0C42"/>
    <w:rsid w:val="000A0F2C"/>
    <w:rsid w:val="000A1575"/>
    <w:rsid w:val="000A1AC3"/>
    <w:rsid w:val="000A1CC3"/>
    <w:rsid w:val="000A1FE1"/>
    <w:rsid w:val="000A33B7"/>
    <w:rsid w:val="000A3485"/>
    <w:rsid w:val="000A38D9"/>
    <w:rsid w:val="000A3B19"/>
    <w:rsid w:val="000A3EEE"/>
    <w:rsid w:val="000A3F57"/>
    <w:rsid w:val="000A42C6"/>
    <w:rsid w:val="000A4663"/>
    <w:rsid w:val="000A50C5"/>
    <w:rsid w:val="000A5249"/>
    <w:rsid w:val="000A557E"/>
    <w:rsid w:val="000A56FD"/>
    <w:rsid w:val="000A5728"/>
    <w:rsid w:val="000A57C3"/>
    <w:rsid w:val="000A5E4A"/>
    <w:rsid w:val="000A6C7E"/>
    <w:rsid w:val="000A73CF"/>
    <w:rsid w:val="000A755B"/>
    <w:rsid w:val="000A7AA5"/>
    <w:rsid w:val="000A7BAE"/>
    <w:rsid w:val="000B0BDF"/>
    <w:rsid w:val="000B16D2"/>
    <w:rsid w:val="000B16EE"/>
    <w:rsid w:val="000B17D5"/>
    <w:rsid w:val="000B1AA7"/>
    <w:rsid w:val="000B1C4C"/>
    <w:rsid w:val="000B1DDC"/>
    <w:rsid w:val="000B1FC1"/>
    <w:rsid w:val="000B245F"/>
    <w:rsid w:val="000B291C"/>
    <w:rsid w:val="000B2AC3"/>
    <w:rsid w:val="000B3066"/>
    <w:rsid w:val="000B35F8"/>
    <w:rsid w:val="000B35FD"/>
    <w:rsid w:val="000B3727"/>
    <w:rsid w:val="000B3957"/>
    <w:rsid w:val="000B3CA5"/>
    <w:rsid w:val="000B49B4"/>
    <w:rsid w:val="000B4E3B"/>
    <w:rsid w:val="000B5198"/>
    <w:rsid w:val="000B5D72"/>
    <w:rsid w:val="000B62D9"/>
    <w:rsid w:val="000B671E"/>
    <w:rsid w:val="000B6730"/>
    <w:rsid w:val="000B6862"/>
    <w:rsid w:val="000B687C"/>
    <w:rsid w:val="000B699B"/>
    <w:rsid w:val="000B6B82"/>
    <w:rsid w:val="000B718F"/>
    <w:rsid w:val="000B7E33"/>
    <w:rsid w:val="000B7F4F"/>
    <w:rsid w:val="000B7F94"/>
    <w:rsid w:val="000C036B"/>
    <w:rsid w:val="000C1265"/>
    <w:rsid w:val="000C148C"/>
    <w:rsid w:val="000C1594"/>
    <w:rsid w:val="000C1618"/>
    <w:rsid w:val="000C1D0E"/>
    <w:rsid w:val="000C2289"/>
    <w:rsid w:val="000C25E7"/>
    <w:rsid w:val="000C2742"/>
    <w:rsid w:val="000C28F1"/>
    <w:rsid w:val="000C3310"/>
    <w:rsid w:val="000C35C0"/>
    <w:rsid w:val="000C4069"/>
    <w:rsid w:val="000C406F"/>
    <w:rsid w:val="000C573B"/>
    <w:rsid w:val="000C6984"/>
    <w:rsid w:val="000C72D4"/>
    <w:rsid w:val="000C74E8"/>
    <w:rsid w:val="000C7D73"/>
    <w:rsid w:val="000C7DF9"/>
    <w:rsid w:val="000C7E78"/>
    <w:rsid w:val="000D009A"/>
    <w:rsid w:val="000D0498"/>
    <w:rsid w:val="000D07EF"/>
    <w:rsid w:val="000D0A94"/>
    <w:rsid w:val="000D0C63"/>
    <w:rsid w:val="000D0FF8"/>
    <w:rsid w:val="000D1235"/>
    <w:rsid w:val="000D1427"/>
    <w:rsid w:val="000D14A2"/>
    <w:rsid w:val="000D1915"/>
    <w:rsid w:val="000D2189"/>
    <w:rsid w:val="000D265E"/>
    <w:rsid w:val="000D28D9"/>
    <w:rsid w:val="000D2946"/>
    <w:rsid w:val="000D2BB0"/>
    <w:rsid w:val="000D2CA5"/>
    <w:rsid w:val="000D318F"/>
    <w:rsid w:val="000D31CA"/>
    <w:rsid w:val="000D3427"/>
    <w:rsid w:val="000D34C3"/>
    <w:rsid w:val="000D3FA3"/>
    <w:rsid w:val="000D41D7"/>
    <w:rsid w:val="000D4489"/>
    <w:rsid w:val="000D49B3"/>
    <w:rsid w:val="000D4A54"/>
    <w:rsid w:val="000D4B71"/>
    <w:rsid w:val="000D5003"/>
    <w:rsid w:val="000D5DDB"/>
    <w:rsid w:val="000D5ED8"/>
    <w:rsid w:val="000D6094"/>
    <w:rsid w:val="000D6D72"/>
    <w:rsid w:val="000D6FD4"/>
    <w:rsid w:val="000D7028"/>
    <w:rsid w:val="000D70B5"/>
    <w:rsid w:val="000D7599"/>
    <w:rsid w:val="000E01A7"/>
    <w:rsid w:val="000E0845"/>
    <w:rsid w:val="000E0C13"/>
    <w:rsid w:val="000E0D12"/>
    <w:rsid w:val="000E0DA6"/>
    <w:rsid w:val="000E0DEE"/>
    <w:rsid w:val="000E1AB6"/>
    <w:rsid w:val="000E1AE3"/>
    <w:rsid w:val="000E1BB3"/>
    <w:rsid w:val="000E1C27"/>
    <w:rsid w:val="000E1D13"/>
    <w:rsid w:val="000E1EB2"/>
    <w:rsid w:val="000E1FED"/>
    <w:rsid w:val="000E26BC"/>
    <w:rsid w:val="000E3148"/>
    <w:rsid w:val="000E3727"/>
    <w:rsid w:val="000E38BB"/>
    <w:rsid w:val="000E3AEE"/>
    <w:rsid w:val="000E3B54"/>
    <w:rsid w:val="000E44F8"/>
    <w:rsid w:val="000E46DC"/>
    <w:rsid w:val="000E4805"/>
    <w:rsid w:val="000E48E2"/>
    <w:rsid w:val="000E5473"/>
    <w:rsid w:val="000E5503"/>
    <w:rsid w:val="000E56FB"/>
    <w:rsid w:val="000E585F"/>
    <w:rsid w:val="000E5A57"/>
    <w:rsid w:val="000E5DB8"/>
    <w:rsid w:val="000E5E82"/>
    <w:rsid w:val="000E5F4E"/>
    <w:rsid w:val="000E6332"/>
    <w:rsid w:val="000E6569"/>
    <w:rsid w:val="000E7153"/>
    <w:rsid w:val="000E71F2"/>
    <w:rsid w:val="000E72CC"/>
    <w:rsid w:val="000E73B0"/>
    <w:rsid w:val="000E7662"/>
    <w:rsid w:val="000E7B2D"/>
    <w:rsid w:val="000E7F1B"/>
    <w:rsid w:val="000F0033"/>
    <w:rsid w:val="000F0678"/>
    <w:rsid w:val="000F086A"/>
    <w:rsid w:val="000F121C"/>
    <w:rsid w:val="000F1B24"/>
    <w:rsid w:val="000F1C83"/>
    <w:rsid w:val="000F2008"/>
    <w:rsid w:val="000F22AB"/>
    <w:rsid w:val="000F3E79"/>
    <w:rsid w:val="000F52A3"/>
    <w:rsid w:val="000F550A"/>
    <w:rsid w:val="000F57D7"/>
    <w:rsid w:val="000F5927"/>
    <w:rsid w:val="000F59BB"/>
    <w:rsid w:val="000F68AB"/>
    <w:rsid w:val="000F6A28"/>
    <w:rsid w:val="000F6AA4"/>
    <w:rsid w:val="000F6B08"/>
    <w:rsid w:val="000F6DFE"/>
    <w:rsid w:val="000F6FE4"/>
    <w:rsid w:val="000F71FE"/>
    <w:rsid w:val="000F7212"/>
    <w:rsid w:val="000F770B"/>
    <w:rsid w:val="000F78F2"/>
    <w:rsid w:val="000F7C06"/>
    <w:rsid w:val="00100096"/>
    <w:rsid w:val="001000EF"/>
    <w:rsid w:val="00100248"/>
    <w:rsid w:val="00100B51"/>
    <w:rsid w:val="00101C29"/>
    <w:rsid w:val="00102A4D"/>
    <w:rsid w:val="00102B39"/>
    <w:rsid w:val="0010322B"/>
    <w:rsid w:val="00103246"/>
    <w:rsid w:val="001038FF"/>
    <w:rsid w:val="001042A7"/>
    <w:rsid w:val="001044F3"/>
    <w:rsid w:val="001047C6"/>
    <w:rsid w:val="00104A38"/>
    <w:rsid w:val="00105345"/>
    <w:rsid w:val="0010558C"/>
    <w:rsid w:val="0010570C"/>
    <w:rsid w:val="00105F05"/>
    <w:rsid w:val="00105FD6"/>
    <w:rsid w:val="001061FA"/>
    <w:rsid w:val="00106D94"/>
    <w:rsid w:val="00106F68"/>
    <w:rsid w:val="0010722E"/>
    <w:rsid w:val="00107608"/>
    <w:rsid w:val="00107D8F"/>
    <w:rsid w:val="001112BE"/>
    <w:rsid w:val="00111675"/>
    <w:rsid w:val="00111A8C"/>
    <w:rsid w:val="00111EF2"/>
    <w:rsid w:val="00111FAE"/>
    <w:rsid w:val="0011218B"/>
    <w:rsid w:val="00112B75"/>
    <w:rsid w:val="00113044"/>
    <w:rsid w:val="00113242"/>
    <w:rsid w:val="00114432"/>
    <w:rsid w:val="0011497A"/>
    <w:rsid w:val="00114A7B"/>
    <w:rsid w:val="00114E3B"/>
    <w:rsid w:val="00114E62"/>
    <w:rsid w:val="0011525F"/>
    <w:rsid w:val="0011584A"/>
    <w:rsid w:val="00115FF9"/>
    <w:rsid w:val="001165F2"/>
    <w:rsid w:val="00116708"/>
    <w:rsid w:val="001177BE"/>
    <w:rsid w:val="0011786C"/>
    <w:rsid w:val="001179BA"/>
    <w:rsid w:val="00117F17"/>
    <w:rsid w:val="00117FB2"/>
    <w:rsid w:val="00117FDA"/>
    <w:rsid w:val="001205F1"/>
    <w:rsid w:val="00120769"/>
    <w:rsid w:val="00120A13"/>
    <w:rsid w:val="0012152A"/>
    <w:rsid w:val="001219CB"/>
    <w:rsid w:val="00121AE5"/>
    <w:rsid w:val="00121B35"/>
    <w:rsid w:val="00121BD3"/>
    <w:rsid w:val="00121D5F"/>
    <w:rsid w:val="00121DA2"/>
    <w:rsid w:val="00121E15"/>
    <w:rsid w:val="00122105"/>
    <w:rsid w:val="00122770"/>
    <w:rsid w:val="00122912"/>
    <w:rsid w:val="00122943"/>
    <w:rsid w:val="00123047"/>
    <w:rsid w:val="001231E9"/>
    <w:rsid w:val="00123386"/>
    <w:rsid w:val="00123A44"/>
    <w:rsid w:val="00123EB9"/>
    <w:rsid w:val="00123F31"/>
    <w:rsid w:val="00124788"/>
    <w:rsid w:val="001247E3"/>
    <w:rsid w:val="00124DE7"/>
    <w:rsid w:val="001255C8"/>
    <w:rsid w:val="001256FD"/>
    <w:rsid w:val="00125821"/>
    <w:rsid w:val="00125871"/>
    <w:rsid w:val="001262B7"/>
    <w:rsid w:val="00126452"/>
    <w:rsid w:val="001264A2"/>
    <w:rsid w:val="00126ED6"/>
    <w:rsid w:val="001274F4"/>
    <w:rsid w:val="001275CB"/>
    <w:rsid w:val="00127901"/>
    <w:rsid w:val="001279EF"/>
    <w:rsid w:val="00127F18"/>
    <w:rsid w:val="00127F31"/>
    <w:rsid w:val="001300D3"/>
    <w:rsid w:val="0013017C"/>
    <w:rsid w:val="00130371"/>
    <w:rsid w:val="001304A5"/>
    <w:rsid w:val="00130ABA"/>
    <w:rsid w:val="00130F5A"/>
    <w:rsid w:val="001311F3"/>
    <w:rsid w:val="00131948"/>
    <w:rsid w:val="00131D33"/>
    <w:rsid w:val="001327C7"/>
    <w:rsid w:val="001328A7"/>
    <w:rsid w:val="00132A10"/>
    <w:rsid w:val="00132C7A"/>
    <w:rsid w:val="00133108"/>
    <w:rsid w:val="00133A51"/>
    <w:rsid w:val="00134355"/>
    <w:rsid w:val="00134578"/>
    <w:rsid w:val="0013460A"/>
    <w:rsid w:val="00134762"/>
    <w:rsid w:val="00134B0C"/>
    <w:rsid w:val="00134E6A"/>
    <w:rsid w:val="0013506F"/>
    <w:rsid w:val="001354C0"/>
    <w:rsid w:val="00135833"/>
    <w:rsid w:val="0013604F"/>
    <w:rsid w:val="0013707E"/>
    <w:rsid w:val="0013710B"/>
    <w:rsid w:val="0013730A"/>
    <w:rsid w:val="00137386"/>
    <w:rsid w:val="00137A54"/>
    <w:rsid w:val="00137F50"/>
    <w:rsid w:val="00140990"/>
    <w:rsid w:val="001409F4"/>
    <w:rsid w:val="00140A17"/>
    <w:rsid w:val="00140CB2"/>
    <w:rsid w:val="00140D5F"/>
    <w:rsid w:val="00141087"/>
    <w:rsid w:val="00141516"/>
    <w:rsid w:val="00141AB1"/>
    <w:rsid w:val="00142127"/>
    <w:rsid w:val="001424BD"/>
    <w:rsid w:val="00142A68"/>
    <w:rsid w:val="00142CF2"/>
    <w:rsid w:val="00142D2E"/>
    <w:rsid w:val="00142E83"/>
    <w:rsid w:val="0014350A"/>
    <w:rsid w:val="001436AE"/>
    <w:rsid w:val="00143BA8"/>
    <w:rsid w:val="00143BB1"/>
    <w:rsid w:val="00143E35"/>
    <w:rsid w:val="00143E39"/>
    <w:rsid w:val="001441A2"/>
    <w:rsid w:val="001451B5"/>
    <w:rsid w:val="00145949"/>
    <w:rsid w:val="001465E7"/>
    <w:rsid w:val="00146612"/>
    <w:rsid w:val="00146C9A"/>
    <w:rsid w:val="00146D79"/>
    <w:rsid w:val="001477B0"/>
    <w:rsid w:val="00147B29"/>
    <w:rsid w:val="0015090C"/>
    <w:rsid w:val="00150A86"/>
    <w:rsid w:val="00150A8A"/>
    <w:rsid w:val="00150F27"/>
    <w:rsid w:val="00151B6F"/>
    <w:rsid w:val="00151CB4"/>
    <w:rsid w:val="00151DF7"/>
    <w:rsid w:val="0015241C"/>
    <w:rsid w:val="00153089"/>
    <w:rsid w:val="0015355D"/>
    <w:rsid w:val="001535C3"/>
    <w:rsid w:val="00153B40"/>
    <w:rsid w:val="00153B9D"/>
    <w:rsid w:val="00154F31"/>
    <w:rsid w:val="00154FCD"/>
    <w:rsid w:val="00155237"/>
    <w:rsid w:val="00155279"/>
    <w:rsid w:val="001554E4"/>
    <w:rsid w:val="00155598"/>
    <w:rsid w:val="00155B25"/>
    <w:rsid w:val="00155CD3"/>
    <w:rsid w:val="001562DD"/>
    <w:rsid w:val="0015635F"/>
    <w:rsid w:val="001563CE"/>
    <w:rsid w:val="001569A4"/>
    <w:rsid w:val="00156AF2"/>
    <w:rsid w:val="00156B29"/>
    <w:rsid w:val="00156B8F"/>
    <w:rsid w:val="00156D8F"/>
    <w:rsid w:val="00156ED3"/>
    <w:rsid w:val="001573F7"/>
    <w:rsid w:val="0015767A"/>
    <w:rsid w:val="00157DF0"/>
    <w:rsid w:val="00160866"/>
    <w:rsid w:val="00161101"/>
    <w:rsid w:val="001613DD"/>
    <w:rsid w:val="00161704"/>
    <w:rsid w:val="00161893"/>
    <w:rsid w:val="00161C28"/>
    <w:rsid w:val="00161CB3"/>
    <w:rsid w:val="001627D2"/>
    <w:rsid w:val="00162A95"/>
    <w:rsid w:val="0016333A"/>
    <w:rsid w:val="001639CF"/>
    <w:rsid w:val="00163A6D"/>
    <w:rsid w:val="00163DD8"/>
    <w:rsid w:val="00164581"/>
    <w:rsid w:val="00164982"/>
    <w:rsid w:val="00164EF3"/>
    <w:rsid w:val="001650DE"/>
    <w:rsid w:val="00165CF8"/>
    <w:rsid w:val="00165ECC"/>
    <w:rsid w:val="001660ED"/>
    <w:rsid w:val="001662BD"/>
    <w:rsid w:val="0016638C"/>
    <w:rsid w:val="00166407"/>
    <w:rsid w:val="00166680"/>
    <w:rsid w:val="001666A4"/>
    <w:rsid w:val="00167143"/>
    <w:rsid w:val="0016772E"/>
    <w:rsid w:val="00167D3D"/>
    <w:rsid w:val="00167E0D"/>
    <w:rsid w:val="00167E70"/>
    <w:rsid w:val="00167F8B"/>
    <w:rsid w:val="0017058A"/>
    <w:rsid w:val="00170724"/>
    <w:rsid w:val="0017083F"/>
    <w:rsid w:val="001709BC"/>
    <w:rsid w:val="00170A7D"/>
    <w:rsid w:val="00170BB2"/>
    <w:rsid w:val="00170E0E"/>
    <w:rsid w:val="00170F39"/>
    <w:rsid w:val="00171302"/>
    <w:rsid w:val="00171493"/>
    <w:rsid w:val="001716CC"/>
    <w:rsid w:val="0017173E"/>
    <w:rsid w:val="00171EAA"/>
    <w:rsid w:val="00172A06"/>
    <w:rsid w:val="00172B1A"/>
    <w:rsid w:val="00172C96"/>
    <w:rsid w:val="00172E2F"/>
    <w:rsid w:val="00172EC9"/>
    <w:rsid w:val="00172FBF"/>
    <w:rsid w:val="001734AF"/>
    <w:rsid w:val="00174585"/>
    <w:rsid w:val="001746C7"/>
    <w:rsid w:val="00174751"/>
    <w:rsid w:val="00174B68"/>
    <w:rsid w:val="00174D72"/>
    <w:rsid w:val="00174EB9"/>
    <w:rsid w:val="00174F09"/>
    <w:rsid w:val="00174FB3"/>
    <w:rsid w:val="00175158"/>
    <w:rsid w:val="001751CD"/>
    <w:rsid w:val="00175392"/>
    <w:rsid w:val="00175499"/>
    <w:rsid w:val="0017566D"/>
    <w:rsid w:val="001759FD"/>
    <w:rsid w:val="00175DE2"/>
    <w:rsid w:val="00176004"/>
    <w:rsid w:val="0017625D"/>
    <w:rsid w:val="00176BC8"/>
    <w:rsid w:val="00176BF7"/>
    <w:rsid w:val="00176BFC"/>
    <w:rsid w:val="0017704D"/>
    <w:rsid w:val="00177252"/>
    <w:rsid w:val="0017763F"/>
    <w:rsid w:val="0017770D"/>
    <w:rsid w:val="001778E8"/>
    <w:rsid w:val="00177E9D"/>
    <w:rsid w:val="001800A9"/>
    <w:rsid w:val="00180FA1"/>
    <w:rsid w:val="00180FF1"/>
    <w:rsid w:val="00181083"/>
    <w:rsid w:val="00181317"/>
    <w:rsid w:val="0018237F"/>
    <w:rsid w:val="00182402"/>
    <w:rsid w:val="0018255A"/>
    <w:rsid w:val="00183065"/>
    <w:rsid w:val="00183A81"/>
    <w:rsid w:val="00183CAA"/>
    <w:rsid w:val="00183F5D"/>
    <w:rsid w:val="001845F2"/>
    <w:rsid w:val="00184E23"/>
    <w:rsid w:val="00184EE1"/>
    <w:rsid w:val="00184FCE"/>
    <w:rsid w:val="001850CD"/>
    <w:rsid w:val="00185517"/>
    <w:rsid w:val="00185680"/>
    <w:rsid w:val="00185EA2"/>
    <w:rsid w:val="00185F25"/>
    <w:rsid w:val="001864D8"/>
    <w:rsid w:val="00186902"/>
    <w:rsid w:val="00187765"/>
    <w:rsid w:val="00187BF0"/>
    <w:rsid w:val="00190123"/>
    <w:rsid w:val="00190885"/>
    <w:rsid w:val="00190CC9"/>
    <w:rsid w:val="0019115F"/>
    <w:rsid w:val="00191313"/>
    <w:rsid w:val="001915D9"/>
    <w:rsid w:val="001916A4"/>
    <w:rsid w:val="00191867"/>
    <w:rsid w:val="00191B0E"/>
    <w:rsid w:val="00192024"/>
    <w:rsid w:val="00192E2D"/>
    <w:rsid w:val="00193197"/>
    <w:rsid w:val="001932E5"/>
    <w:rsid w:val="0019341D"/>
    <w:rsid w:val="00193503"/>
    <w:rsid w:val="001936D6"/>
    <w:rsid w:val="001936F4"/>
    <w:rsid w:val="001948B2"/>
    <w:rsid w:val="00194EFA"/>
    <w:rsid w:val="00194F21"/>
    <w:rsid w:val="0019512C"/>
    <w:rsid w:val="0019577B"/>
    <w:rsid w:val="00195871"/>
    <w:rsid w:val="00195F30"/>
    <w:rsid w:val="001963E4"/>
    <w:rsid w:val="001964B9"/>
    <w:rsid w:val="001965D2"/>
    <w:rsid w:val="001966F0"/>
    <w:rsid w:val="0019717C"/>
    <w:rsid w:val="00197272"/>
    <w:rsid w:val="001972D4"/>
    <w:rsid w:val="001974CD"/>
    <w:rsid w:val="00197712"/>
    <w:rsid w:val="00197764"/>
    <w:rsid w:val="001978A0"/>
    <w:rsid w:val="001978CF"/>
    <w:rsid w:val="00197F91"/>
    <w:rsid w:val="001A0240"/>
    <w:rsid w:val="001A0389"/>
    <w:rsid w:val="001A0406"/>
    <w:rsid w:val="001A0873"/>
    <w:rsid w:val="001A0954"/>
    <w:rsid w:val="001A1116"/>
    <w:rsid w:val="001A1658"/>
    <w:rsid w:val="001A170B"/>
    <w:rsid w:val="001A18A8"/>
    <w:rsid w:val="001A1EC2"/>
    <w:rsid w:val="001A2119"/>
    <w:rsid w:val="001A2148"/>
    <w:rsid w:val="001A2169"/>
    <w:rsid w:val="001A2578"/>
    <w:rsid w:val="001A28DB"/>
    <w:rsid w:val="001A2A78"/>
    <w:rsid w:val="001A2AA5"/>
    <w:rsid w:val="001A2C20"/>
    <w:rsid w:val="001A301F"/>
    <w:rsid w:val="001A3557"/>
    <w:rsid w:val="001A373A"/>
    <w:rsid w:val="001A3B77"/>
    <w:rsid w:val="001A3E29"/>
    <w:rsid w:val="001A4981"/>
    <w:rsid w:val="001A50CC"/>
    <w:rsid w:val="001A5224"/>
    <w:rsid w:val="001A5391"/>
    <w:rsid w:val="001A53AA"/>
    <w:rsid w:val="001A5DFE"/>
    <w:rsid w:val="001A6041"/>
    <w:rsid w:val="001A60F9"/>
    <w:rsid w:val="001A6164"/>
    <w:rsid w:val="001A62DF"/>
    <w:rsid w:val="001A6560"/>
    <w:rsid w:val="001A67AF"/>
    <w:rsid w:val="001A6A83"/>
    <w:rsid w:val="001A6D6E"/>
    <w:rsid w:val="001A6F70"/>
    <w:rsid w:val="001A7685"/>
    <w:rsid w:val="001A7795"/>
    <w:rsid w:val="001A77FB"/>
    <w:rsid w:val="001A7B05"/>
    <w:rsid w:val="001A7D9E"/>
    <w:rsid w:val="001B0390"/>
    <w:rsid w:val="001B0789"/>
    <w:rsid w:val="001B10C1"/>
    <w:rsid w:val="001B12BB"/>
    <w:rsid w:val="001B1696"/>
    <w:rsid w:val="001B1A20"/>
    <w:rsid w:val="001B1D79"/>
    <w:rsid w:val="001B20C9"/>
    <w:rsid w:val="001B247B"/>
    <w:rsid w:val="001B28F5"/>
    <w:rsid w:val="001B2BDC"/>
    <w:rsid w:val="001B2D5F"/>
    <w:rsid w:val="001B3245"/>
    <w:rsid w:val="001B3618"/>
    <w:rsid w:val="001B36D6"/>
    <w:rsid w:val="001B38D3"/>
    <w:rsid w:val="001B3CB6"/>
    <w:rsid w:val="001B3FE0"/>
    <w:rsid w:val="001B424F"/>
    <w:rsid w:val="001B4338"/>
    <w:rsid w:val="001B4421"/>
    <w:rsid w:val="001B4C4F"/>
    <w:rsid w:val="001B57F5"/>
    <w:rsid w:val="001B58A9"/>
    <w:rsid w:val="001B5BE9"/>
    <w:rsid w:val="001B601F"/>
    <w:rsid w:val="001B69CA"/>
    <w:rsid w:val="001B700C"/>
    <w:rsid w:val="001B7420"/>
    <w:rsid w:val="001B778F"/>
    <w:rsid w:val="001B7F5E"/>
    <w:rsid w:val="001C01BE"/>
    <w:rsid w:val="001C026F"/>
    <w:rsid w:val="001C04D0"/>
    <w:rsid w:val="001C06CF"/>
    <w:rsid w:val="001C09D3"/>
    <w:rsid w:val="001C0DD2"/>
    <w:rsid w:val="001C0EA3"/>
    <w:rsid w:val="001C0FB7"/>
    <w:rsid w:val="001C14FF"/>
    <w:rsid w:val="001C15AE"/>
    <w:rsid w:val="001C197D"/>
    <w:rsid w:val="001C1EFF"/>
    <w:rsid w:val="001C20CD"/>
    <w:rsid w:val="001C23E8"/>
    <w:rsid w:val="001C25D2"/>
    <w:rsid w:val="001C2A12"/>
    <w:rsid w:val="001C2D2B"/>
    <w:rsid w:val="001C2D41"/>
    <w:rsid w:val="001C308F"/>
    <w:rsid w:val="001C3202"/>
    <w:rsid w:val="001C3514"/>
    <w:rsid w:val="001C4173"/>
    <w:rsid w:val="001C432A"/>
    <w:rsid w:val="001C445D"/>
    <w:rsid w:val="001C48A0"/>
    <w:rsid w:val="001C4D70"/>
    <w:rsid w:val="001C4ECB"/>
    <w:rsid w:val="001C529C"/>
    <w:rsid w:val="001C5398"/>
    <w:rsid w:val="001C552A"/>
    <w:rsid w:val="001C57F8"/>
    <w:rsid w:val="001C59E4"/>
    <w:rsid w:val="001C5CE0"/>
    <w:rsid w:val="001C6103"/>
    <w:rsid w:val="001C6DB1"/>
    <w:rsid w:val="001C6E1D"/>
    <w:rsid w:val="001C7607"/>
    <w:rsid w:val="001C771A"/>
    <w:rsid w:val="001C7EA8"/>
    <w:rsid w:val="001C7F8E"/>
    <w:rsid w:val="001D0FD9"/>
    <w:rsid w:val="001D1362"/>
    <w:rsid w:val="001D147A"/>
    <w:rsid w:val="001D19BE"/>
    <w:rsid w:val="001D2165"/>
    <w:rsid w:val="001D2295"/>
    <w:rsid w:val="001D2388"/>
    <w:rsid w:val="001D256D"/>
    <w:rsid w:val="001D25ED"/>
    <w:rsid w:val="001D2845"/>
    <w:rsid w:val="001D2951"/>
    <w:rsid w:val="001D2CDE"/>
    <w:rsid w:val="001D30AD"/>
    <w:rsid w:val="001D3572"/>
    <w:rsid w:val="001D3FA1"/>
    <w:rsid w:val="001D4251"/>
    <w:rsid w:val="001D490C"/>
    <w:rsid w:val="001D4E62"/>
    <w:rsid w:val="001D4EF2"/>
    <w:rsid w:val="001D55AE"/>
    <w:rsid w:val="001D59F2"/>
    <w:rsid w:val="001D5AED"/>
    <w:rsid w:val="001D5D87"/>
    <w:rsid w:val="001D5E88"/>
    <w:rsid w:val="001D5EF3"/>
    <w:rsid w:val="001D69FD"/>
    <w:rsid w:val="001D6C8D"/>
    <w:rsid w:val="001D70B4"/>
    <w:rsid w:val="001D7225"/>
    <w:rsid w:val="001D747A"/>
    <w:rsid w:val="001D7B59"/>
    <w:rsid w:val="001D7BB6"/>
    <w:rsid w:val="001D7CC0"/>
    <w:rsid w:val="001D7ED8"/>
    <w:rsid w:val="001E04E7"/>
    <w:rsid w:val="001E0502"/>
    <w:rsid w:val="001E0988"/>
    <w:rsid w:val="001E0D56"/>
    <w:rsid w:val="001E0E59"/>
    <w:rsid w:val="001E10D4"/>
    <w:rsid w:val="001E1BA1"/>
    <w:rsid w:val="001E1D2B"/>
    <w:rsid w:val="001E1D61"/>
    <w:rsid w:val="001E1DE5"/>
    <w:rsid w:val="001E2557"/>
    <w:rsid w:val="001E28A4"/>
    <w:rsid w:val="001E302E"/>
    <w:rsid w:val="001E324C"/>
    <w:rsid w:val="001E3576"/>
    <w:rsid w:val="001E4005"/>
    <w:rsid w:val="001E456F"/>
    <w:rsid w:val="001E4854"/>
    <w:rsid w:val="001E4EC7"/>
    <w:rsid w:val="001E53F9"/>
    <w:rsid w:val="001E55EE"/>
    <w:rsid w:val="001E5818"/>
    <w:rsid w:val="001E5AEA"/>
    <w:rsid w:val="001E5C3F"/>
    <w:rsid w:val="001E5D37"/>
    <w:rsid w:val="001E5D5D"/>
    <w:rsid w:val="001E5DE9"/>
    <w:rsid w:val="001E5E05"/>
    <w:rsid w:val="001E6080"/>
    <w:rsid w:val="001E6331"/>
    <w:rsid w:val="001E65CA"/>
    <w:rsid w:val="001E6819"/>
    <w:rsid w:val="001E6824"/>
    <w:rsid w:val="001E6D2A"/>
    <w:rsid w:val="001E7431"/>
    <w:rsid w:val="001E7C26"/>
    <w:rsid w:val="001E7E9E"/>
    <w:rsid w:val="001F000B"/>
    <w:rsid w:val="001F02CF"/>
    <w:rsid w:val="001F02F2"/>
    <w:rsid w:val="001F0330"/>
    <w:rsid w:val="001F044E"/>
    <w:rsid w:val="001F05AC"/>
    <w:rsid w:val="001F0E5D"/>
    <w:rsid w:val="001F0FA6"/>
    <w:rsid w:val="001F1050"/>
    <w:rsid w:val="001F1128"/>
    <w:rsid w:val="001F192A"/>
    <w:rsid w:val="001F22ED"/>
    <w:rsid w:val="001F24A7"/>
    <w:rsid w:val="001F258A"/>
    <w:rsid w:val="001F2EB0"/>
    <w:rsid w:val="001F2FD6"/>
    <w:rsid w:val="001F32F2"/>
    <w:rsid w:val="001F383F"/>
    <w:rsid w:val="001F3E51"/>
    <w:rsid w:val="001F42E8"/>
    <w:rsid w:val="001F434E"/>
    <w:rsid w:val="001F4866"/>
    <w:rsid w:val="001F49C9"/>
    <w:rsid w:val="001F4BD2"/>
    <w:rsid w:val="001F4CA0"/>
    <w:rsid w:val="001F4F3C"/>
    <w:rsid w:val="001F50B2"/>
    <w:rsid w:val="001F538F"/>
    <w:rsid w:val="001F59F1"/>
    <w:rsid w:val="001F6902"/>
    <w:rsid w:val="001F6A06"/>
    <w:rsid w:val="001F6E2B"/>
    <w:rsid w:val="001F7275"/>
    <w:rsid w:val="0020043C"/>
    <w:rsid w:val="0020121A"/>
    <w:rsid w:val="0020212A"/>
    <w:rsid w:val="002023B2"/>
    <w:rsid w:val="002024CF"/>
    <w:rsid w:val="00202591"/>
    <w:rsid w:val="00202662"/>
    <w:rsid w:val="002029DB"/>
    <w:rsid w:val="00202B19"/>
    <w:rsid w:val="002030F6"/>
    <w:rsid w:val="00203A2D"/>
    <w:rsid w:val="002041A8"/>
    <w:rsid w:val="00204245"/>
    <w:rsid w:val="00204472"/>
    <w:rsid w:val="00204C1C"/>
    <w:rsid w:val="00204DB7"/>
    <w:rsid w:val="00204F50"/>
    <w:rsid w:val="0020574C"/>
    <w:rsid w:val="0020580B"/>
    <w:rsid w:val="00205F27"/>
    <w:rsid w:val="00206234"/>
    <w:rsid w:val="002065FA"/>
    <w:rsid w:val="00207255"/>
    <w:rsid w:val="0020763C"/>
    <w:rsid w:val="00207756"/>
    <w:rsid w:val="002078D5"/>
    <w:rsid w:val="00210376"/>
    <w:rsid w:val="0021069B"/>
    <w:rsid w:val="00210DF1"/>
    <w:rsid w:val="00210E1C"/>
    <w:rsid w:val="002115E6"/>
    <w:rsid w:val="002117AE"/>
    <w:rsid w:val="00211CC3"/>
    <w:rsid w:val="00211D2A"/>
    <w:rsid w:val="00211D73"/>
    <w:rsid w:val="00212167"/>
    <w:rsid w:val="0021263C"/>
    <w:rsid w:val="0021286A"/>
    <w:rsid w:val="00212B07"/>
    <w:rsid w:val="00213459"/>
    <w:rsid w:val="00213541"/>
    <w:rsid w:val="00213836"/>
    <w:rsid w:val="00213ABC"/>
    <w:rsid w:val="002141E8"/>
    <w:rsid w:val="0021511B"/>
    <w:rsid w:val="00215204"/>
    <w:rsid w:val="0021675B"/>
    <w:rsid w:val="002167EA"/>
    <w:rsid w:val="0021680A"/>
    <w:rsid w:val="00216C6E"/>
    <w:rsid w:val="0021771B"/>
    <w:rsid w:val="0021786F"/>
    <w:rsid w:val="00217B94"/>
    <w:rsid w:val="00217C3B"/>
    <w:rsid w:val="00217FF8"/>
    <w:rsid w:val="002205A9"/>
    <w:rsid w:val="00220729"/>
    <w:rsid w:val="00221323"/>
    <w:rsid w:val="002219FB"/>
    <w:rsid w:val="00221B54"/>
    <w:rsid w:val="00221E67"/>
    <w:rsid w:val="00222116"/>
    <w:rsid w:val="002228B7"/>
    <w:rsid w:val="002228BE"/>
    <w:rsid w:val="002229F0"/>
    <w:rsid w:val="00222D2E"/>
    <w:rsid w:val="00222F04"/>
    <w:rsid w:val="0022318B"/>
    <w:rsid w:val="0022327A"/>
    <w:rsid w:val="00223EEE"/>
    <w:rsid w:val="00224423"/>
    <w:rsid w:val="002246BC"/>
    <w:rsid w:val="00224FA8"/>
    <w:rsid w:val="0022509F"/>
    <w:rsid w:val="00225BAE"/>
    <w:rsid w:val="00225C00"/>
    <w:rsid w:val="00226062"/>
    <w:rsid w:val="00226435"/>
    <w:rsid w:val="0022691E"/>
    <w:rsid w:val="00226C7B"/>
    <w:rsid w:val="0022753F"/>
    <w:rsid w:val="00227A6A"/>
    <w:rsid w:val="0023014F"/>
    <w:rsid w:val="002303F8"/>
    <w:rsid w:val="00230679"/>
    <w:rsid w:val="0023098B"/>
    <w:rsid w:val="0023107F"/>
    <w:rsid w:val="00231B8C"/>
    <w:rsid w:val="00232238"/>
    <w:rsid w:val="0023234C"/>
    <w:rsid w:val="00232451"/>
    <w:rsid w:val="00232640"/>
    <w:rsid w:val="00232A22"/>
    <w:rsid w:val="00232EAE"/>
    <w:rsid w:val="00233D4F"/>
    <w:rsid w:val="00233EF5"/>
    <w:rsid w:val="00233F72"/>
    <w:rsid w:val="00234099"/>
    <w:rsid w:val="0023413F"/>
    <w:rsid w:val="002341F8"/>
    <w:rsid w:val="002347CD"/>
    <w:rsid w:val="00234B89"/>
    <w:rsid w:val="00234C8A"/>
    <w:rsid w:val="00235BDC"/>
    <w:rsid w:val="00235E7D"/>
    <w:rsid w:val="00235FA3"/>
    <w:rsid w:val="0023607E"/>
    <w:rsid w:val="002360D7"/>
    <w:rsid w:val="002362A5"/>
    <w:rsid w:val="002366E4"/>
    <w:rsid w:val="002369B0"/>
    <w:rsid w:val="00236A09"/>
    <w:rsid w:val="00236D62"/>
    <w:rsid w:val="002372AD"/>
    <w:rsid w:val="0023732E"/>
    <w:rsid w:val="00237B1A"/>
    <w:rsid w:val="00237E31"/>
    <w:rsid w:val="00237F96"/>
    <w:rsid w:val="002405B0"/>
    <w:rsid w:val="00240BD0"/>
    <w:rsid w:val="002410B0"/>
    <w:rsid w:val="00241218"/>
    <w:rsid w:val="002416C7"/>
    <w:rsid w:val="00241C55"/>
    <w:rsid w:val="00241F6F"/>
    <w:rsid w:val="00241FD6"/>
    <w:rsid w:val="00242225"/>
    <w:rsid w:val="0024234D"/>
    <w:rsid w:val="002426EC"/>
    <w:rsid w:val="00242E6D"/>
    <w:rsid w:val="00243166"/>
    <w:rsid w:val="00243748"/>
    <w:rsid w:val="0024391E"/>
    <w:rsid w:val="002447F4"/>
    <w:rsid w:val="00245012"/>
    <w:rsid w:val="0024510E"/>
    <w:rsid w:val="00245414"/>
    <w:rsid w:val="0024564C"/>
    <w:rsid w:val="0024622D"/>
    <w:rsid w:val="0024662B"/>
    <w:rsid w:val="002466A4"/>
    <w:rsid w:val="0024779D"/>
    <w:rsid w:val="0025029E"/>
    <w:rsid w:val="002508C3"/>
    <w:rsid w:val="002511A3"/>
    <w:rsid w:val="00251959"/>
    <w:rsid w:val="00251BD2"/>
    <w:rsid w:val="002531D0"/>
    <w:rsid w:val="00253DAA"/>
    <w:rsid w:val="00253EA1"/>
    <w:rsid w:val="00254384"/>
    <w:rsid w:val="0025470A"/>
    <w:rsid w:val="002547F1"/>
    <w:rsid w:val="00254938"/>
    <w:rsid w:val="00254F25"/>
    <w:rsid w:val="0025569F"/>
    <w:rsid w:val="00255A22"/>
    <w:rsid w:val="00255B6E"/>
    <w:rsid w:val="00255E65"/>
    <w:rsid w:val="00255FB5"/>
    <w:rsid w:val="00256832"/>
    <w:rsid w:val="00256937"/>
    <w:rsid w:val="00256BC6"/>
    <w:rsid w:val="00257119"/>
    <w:rsid w:val="002571B1"/>
    <w:rsid w:val="00257207"/>
    <w:rsid w:val="0025757D"/>
    <w:rsid w:val="00257656"/>
    <w:rsid w:val="002576CC"/>
    <w:rsid w:val="00257A38"/>
    <w:rsid w:val="00257C51"/>
    <w:rsid w:val="00260259"/>
    <w:rsid w:val="002604D6"/>
    <w:rsid w:val="0026069A"/>
    <w:rsid w:val="00260706"/>
    <w:rsid w:val="00260ECA"/>
    <w:rsid w:val="00260FF6"/>
    <w:rsid w:val="002610C1"/>
    <w:rsid w:val="00261452"/>
    <w:rsid w:val="002617C2"/>
    <w:rsid w:val="002618E0"/>
    <w:rsid w:val="00261BA0"/>
    <w:rsid w:val="002620D4"/>
    <w:rsid w:val="002621CA"/>
    <w:rsid w:val="0026277B"/>
    <w:rsid w:val="00262AF8"/>
    <w:rsid w:val="00263E6C"/>
    <w:rsid w:val="00264511"/>
    <w:rsid w:val="0026468A"/>
    <w:rsid w:val="00264E93"/>
    <w:rsid w:val="00264EE6"/>
    <w:rsid w:val="00265194"/>
    <w:rsid w:val="0026580A"/>
    <w:rsid w:val="002659AD"/>
    <w:rsid w:val="00266344"/>
    <w:rsid w:val="00266995"/>
    <w:rsid w:val="002671ED"/>
    <w:rsid w:val="0026729C"/>
    <w:rsid w:val="00267608"/>
    <w:rsid w:val="002678BE"/>
    <w:rsid w:val="002679B9"/>
    <w:rsid w:val="00267D56"/>
    <w:rsid w:val="00267E54"/>
    <w:rsid w:val="0027040E"/>
    <w:rsid w:val="00270566"/>
    <w:rsid w:val="00270727"/>
    <w:rsid w:val="00270A85"/>
    <w:rsid w:val="00270D45"/>
    <w:rsid w:val="002710FB"/>
    <w:rsid w:val="00271384"/>
    <w:rsid w:val="0027157F"/>
    <w:rsid w:val="0027169B"/>
    <w:rsid w:val="00271997"/>
    <w:rsid w:val="00271A90"/>
    <w:rsid w:val="00271C3B"/>
    <w:rsid w:val="00271E0C"/>
    <w:rsid w:val="002720E7"/>
    <w:rsid w:val="00272203"/>
    <w:rsid w:val="002725FC"/>
    <w:rsid w:val="00272797"/>
    <w:rsid w:val="00272840"/>
    <w:rsid w:val="002731DB"/>
    <w:rsid w:val="002739D6"/>
    <w:rsid w:val="00273A2F"/>
    <w:rsid w:val="0027405C"/>
    <w:rsid w:val="0027409C"/>
    <w:rsid w:val="00274255"/>
    <w:rsid w:val="00274AF9"/>
    <w:rsid w:val="00274BA1"/>
    <w:rsid w:val="00274BB7"/>
    <w:rsid w:val="00274E30"/>
    <w:rsid w:val="00274E81"/>
    <w:rsid w:val="00274F04"/>
    <w:rsid w:val="0027510F"/>
    <w:rsid w:val="00276772"/>
    <w:rsid w:val="002767D2"/>
    <w:rsid w:val="0027741A"/>
    <w:rsid w:val="00277528"/>
    <w:rsid w:val="002777EF"/>
    <w:rsid w:val="00277872"/>
    <w:rsid w:val="00277E37"/>
    <w:rsid w:val="002805AD"/>
    <w:rsid w:val="002808F3"/>
    <w:rsid w:val="002810B5"/>
    <w:rsid w:val="002821D2"/>
    <w:rsid w:val="002821EC"/>
    <w:rsid w:val="00282836"/>
    <w:rsid w:val="00282853"/>
    <w:rsid w:val="002829F4"/>
    <w:rsid w:val="00282E3B"/>
    <w:rsid w:val="002833DB"/>
    <w:rsid w:val="0028353B"/>
    <w:rsid w:val="0028377E"/>
    <w:rsid w:val="00283D36"/>
    <w:rsid w:val="002841D4"/>
    <w:rsid w:val="002844E3"/>
    <w:rsid w:val="002847C3"/>
    <w:rsid w:val="002847DC"/>
    <w:rsid w:val="00284904"/>
    <w:rsid w:val="00284986"/>
    <w:rsid w:val="00284C02"/>
    <w:rsid w:val="0028523B"/>
    <w:rsid w:val="002854B9"/>
    <w:rsid w:val="002857DC"/>
    <w:rsid w:val="00285CAA"/>
    <w:rsid w:val="00285EA6"/>
    <w:rsid w:val="00285EE9"/>
    <w:rsid w:val="00285FEF"/>
    <w:rsid w:val="00286229"/>
    <w:rsid w:val="00286777"/>
    <w:rsid w:val="0028689F"/>
    <w:rsid w:val="00286A04"/>
    <w:rsid w:val="002904C4"/>
    <w:rsid w:val="002906B8"/>
    <w:rsid w:val="002907F7"/>
    <w:rsid w:val="00290DEB"/>
    <w:rsid w:val="00290FB4"/>
    <w:rsid w:val="002910F9"/>
    <w:rsid w:val="0029146B"/>
    <w:rsid w:val="002915D8"/>
    <w:rsid w:val="00291755"/>
    <w:rsid w:val="00291D14"/>
    <w:rsid w:val="002923EA"/>
    <w:rsid w:val="002927DC"/>
    <w:rsid w:val="00292AA5"/>
    <w:rsid w:val="00293495"/>
    <w:rsid w:val="0029395D"/>
    <w:rsid w:val="00293E61"/>
    <w:rsid w:val="0029400E"/>
    <w:rsid w:val="0029406C"/>
    <w:rsid w:val="002942FB"/>
    <w:rsid w:val="002943C9"/>
    <w:rsid w:val="00294929"/>
    <w:rsid w:val="00295AC6"/>
    <w:rsid w:val="00295B77"/>
    <w:rsid w:val="00295DA5"/>
    <w:rsid w:val="00295E14"/>
    <w:rsid w:val="00296180"/>
    <w:rsid w:val="0029652D"/>
    <w:rsid w:val="002968AD"/>
    <w:rsid w:val="00296EC7"/>
    <w:rsid w:val="00296F77"/>
    <w:rsid w:val="00297B2B"/>
    <w:rsid w:val="002A03E6"/>
    <w:rsid w:val="002A0635"/>
    <w:rsid w:val="002A0B52"/>
    <w:rsid w:val="002A0F95"/>
    <w:rsid w:val="002A1187"/>
    <w:rsid w:val="002A1288"/>
    <w:rsid w:val="002A1629"/>
    <w:rsid w:val="002A16AA"/>
    <w:rsid w:val="002A1C41"/>
    <w:rsid w:val="002A27A8"/>
    <w:rsid w:val="002A293C"/>
    <w:rsid w:val="002A2E77"/>
    <w:rsid w:val="002A2FB6"/>
    <w:rsid w:val="002A31CB"/>
    <w:rsid w:val="002A34AF"/>
    <w:rsid w:val="002A3FC5"/>
    <w:rsid w:val="002A4234"/>
    <w:rsid w:val="002A44BD"/>
    <w:rsid w:val="002A4FAB"/>
    <w:rsid w:val="002A50D0"/>
    <w:rsid w:val="002A525F"/>
    <w:rsid w:val="002A57B8"/>
    <w:rsid w:val="002A586F"/>
    <w:rsid w:val="002A5BBB"/>
    <w:rsid w:val="002A6872"/>
    <w:rsid w:val="002A6ED2"/>
    <w:rsid w:val="002A7210"/>
    <w:rsid w:val="002A7889"/>
    <w:rsid w:val="002A7FCA"/>
    <w:rsid w:val="002B015B"/>
    <w:rsid w:val="002B0B22"/>
    <w:rsid w:val="002B0E8E"/>
    <w:rsid w:val="002B0EA6"/>
    <w:rsid w:val="002B1059"/>
    <w:rsid w:val="002B129B"/>
    <w:rsid w:val="002B17F0"/>
    <w:rsid w:val="002B1A9B"/>
    <w:rsid w:val="002B1CE2"/>
    <w:rsid w:val="002B299E"/>
    <w:rsid w:val="002B2D49"/>
    <w:rsid w:val="002B2F8A"/>
    <w:rsid w:val="002B3C99"/>
    <w:rsid w:val="002B3D6E"/>
    <w:rsid w:val="002B3D74"/>
    <w:rsid w:val="002B3FAA"/>
    <w:rsid w:val="002B40B7"/>
    <w:rsid w:val="002B4B14"/>
    <w:rsid w:val="002B4B1B"/>
    <w:rsid w:val="002B4D20"/>
    <w:rsid w:val="002B5378"/>
    <w:rsid w:val="002B5B6A"/>
    <w:rsid w:val="002B644A"/>
    <w:rsid w:val="002B65E9"/>
    <w:rsid w:val="002B7333"/>
    <w:rsid w:val="002B7335"/>
    <w:rsid w:val="002C037D"/>
    <w:rsid w:val="002C07F1"/>
    <w:rsid w:val="002C0AA1"/>
    <w:rsid w:val="002C0B87"/>
    <w:rsid w:val="002C0CE7"/>
    <w:rsid w:val="002C0EFF"/>
    <w:rsid w:val="002C1A53"/>
    <w:rsid w:val="002C1FD0"/>
    <w:rsid w:val="002C2866"/>
    <w:rsid w:val="002C2BAC"/>
    <w:rsid w:val="002C2F44"/>
    <w:rsid w:val="002C2FCB"/>
    <w:rsid w:val="002C33A0"/>
    <w:rsid w:val="002C370A"/>
    <w:rsid w:val="002C3860"/>
    <w:rsid w:val="002C3CA6"/>
    <w:rsid w:val="002C3E02"/>
    <w:rsid w:val="002C4EF5"/>
    <w:rsid w:val="002C59F7"/>
    <w:rsid w:val="002C635D"/>
    <w:rsid w:val="002C6AC5"/>
    <w:rsid w:val="002C6F02"/>
    <w:rsid w:val="002C75AB"/>
    <w:rsid w:val="002C75BE"/>
    <w:rsid w:val="002C7A02"/>
    <w:rsid w:val="002C7CCF"/>
    <w:rsid w:val="002C7D30"/>
    <w:rsid w:val="002D01EF"/>
    <w:rsid w:val="002D0452"/>
    <w:rsid w:val="002D098A"/>
    <w:rsid w:val="002D0A33"/>
    <w:rsid w:val="002D0F80"/>
    <w:rsid w:val="002D1249"/>
    <w:rsid w:val="002D12DE"/>
    <w:rsid w:val="002D1CD5"/>
    <w:rsid w:val="002D276E"/>
    <w:rsid w:val="002D2B0F"/>
    <w:rsid w:val="002D2B67"/>
    <w:rsid w:val="002D2C5E"/>
    <w:rsid w:val="002D437D"/>
    <w:rsid w:val="002D4E3D"/>
    <w:rsid w:val="002D52AF"/>
    <w:rsid w:val="002D53BB"/>
    <w:rsid w:val="002D570D"/>
    <w:rsid w:val="002D696F"/>
    <w:rsid w:val="002D6A1C"/>
    <w:rsid w:val="002D6D44"/>
    <w:rsid w:val="002D7206"/>
    <w:rsid w:val="002D7328"/>
    <w:rsid w:val="002D734D"/>
    <w:rsid w:val="002D7354"/>
    <w:rsid w:val="002D73F5"/>
    <w:rsid w:val="002D7415"/>
    <w:rsid w:val="002D793F"/>
    <w:rsid w:val="002D799C"/>
    <w:rsid w:val="002D7AA7"/>
    <w:rsid w:val="002D7BC5"/>
    <w:rsid w:val="002D7E06"/>
    <w:rsid w:val="002D7E35"/>
    <w:rsid w:val="002E08BB"/>
    <w:rsid w:val="002E0A8A"/>
    <w:rsid w:val="002E1EEA"/>
    <w:rsid w:val="002E280A"/>
    <w:rsid w:val="002E2AFE"/>
    <w:rsid w:val="002E2E52"/>
    <w:rsid w:val="002E3195"/>
    <w:rsid w:val="002E36B9"/>
    <w:rsid w:val="002E3754"/>
    <w:rsid w:val="002E3938"/>
    <w:rsid w:val="002E4A0C"/>
    <w:rsid w:val="002E4E84"/>
    <w:rsid w:val="002E4F7C"/>
    <w:rsid w:val="002E5054"/>
    <w:rsid w:val="002E54E4"/>
    <w:rsid w:val="002E54EC"/>
    <w:rsid w:val="002E600B"/>
    <w:rsid w:val="002E61A4"/>
    <w:rsid w:val="002E62B1"/>
    <w:rsid w:val="002E63AF"/>
    <w:rsid w:val="002E658A"/>
    <w:rsid w:val="002E67CC"/>
    <w:rsid w:val="002E6BC0"/>
    <w:rsid w:val="002E6FD3"/>
    <w:rsid w:val="002E75E9"/>
    <w:rsid w:val="002E7813"/>
    <w:rsid w:val="002F0478"/>
    <w:rsid w:val="002F06B8"/>
    <w:rsid w:val="002F0896"/>
    <w:rsid w:val="002F08A2"/>
    <w:rsid w:val="002F08F8"/>
    <w:rsid w:val="002F110C"/>
    <w:rsid w:val="002F1433"/>
    <w:rsid w:val="002F1A66"/>
    <w:rsid w:val="002F1C9B"/>
    <w:rsid w:val="002F2FE6"/>
    <w:rsid w:val="002F30F1"/>
    <w:rsid w:val="002F3909"/>
    <w:rsid w:val="002F39D7"/>
    <w:rsid w:val="002F3D34"/>
    <w:rsid w:val="002F3F9F"/>
    <w:rsid w:val="002F4372"/>
    <w:rsid w:val="002F440B"/>
    <w:rsid w:val="002F467E"/>
    <w:rsid w:val="002F47B6"/>
    <w:rsid w:val="002F4B92"/>
    <w:rsid w:val="002F4FED"/>
    <w:rsid w:val="002F500C"/>
    <w:rsid w:val="002F5188"/>
    <w:rsid w:val="002F5469"/>
    <w:rsid w:val="002F55A9"/>
    <w:rsid w:val="002F5653"/>
    <w:rsid w:val="002F6047"/>
    <w:rsid w:val="002F6BC4"/>
    <w:rsid w:val="002F6D61"/>
    <w:rsid w:val="002F7346"/>
    <w:rsid w:val="002F7362"/>
    <w:rsid w:val="002F79F3"/>
    <w:rsid w:val="002F7EAA"/>
    <w:rsid w:val="002F7F41"/>
    <w:rsid w:val="00301735"/>
    <w:rsid w:val="003019B5"/>
    <w:rsid w:val="003019C3"/>
    <w:rsid w:val="003019F6"/>
    <w:rsid w:val="00301BA6"/>
    <w:rsid w:val="00302004"/>
    <w:rsid w:val="00302723"/>
    <w:rsid w:val="0030277A"/>
    <w:rsid w:val="00302854"/>
    <w:rsid w:val="00302EC6"/>
    <w:rsid w:val="003031B2"/>
    <w:rsid w:val="00303476"/>
    <w:rsid w:val="00303945"/>
    <w:rsid w:val="00303E19"/>
    <w:rsid w:val="00303E9D"/>
    <w:rsid w:val="0030483F"/>
    <w:rsid w:val="00304992"/>
    <w:rsid w:val="00304CD3"/>
    <w:rsid w:val="003053F9"/>
    <w:rsid w:val="0030548C"/>
    <w:rsid w:val="003058A1"/>
    <w:rsid w:val="00306175"/>
    <w:rsid w:val="00306E07"/>
    <w:rsid w:val="003072FA"/>
    <w:rsid w:val="00307C8F"/>
    <w:rsid w:val="0031012F"/>
    <w:rsid w:val="003106D2"/>
    <w:rsid w:val="003109A7"/>
    <w:rsid w:val="00311035"/>
    <w:rsid w:val="003110FD"/>
    <w:rsid w:val="003113DA"/>
    <w:rsid w:val="00311403"/>
    <w:rsid w:val="003114B1"/>
    <w:rsid w:val="003125D4"/>
    <w:rsid w:val="00312A34"/>
    <w:rsid w:val="0031311A"/>
    <w:rsid w:val="003134A1"/>
    <w:rsid w:val="003134A3"/>
    <w:rsid w:val="00313878"/>
    <w:rsid w:val="003141D9"/>
    <w:rsid w:val="0031429E"/>
    <w:rsid w:val="00314722"/>
    <w:rsid w:val="0031499B"/>
    <w:rsid w:val="00314AB7"/>
    <w:rsid w:val="003157F2"/>
    <w:rsid w:val="00315925"/>
    <w:rsid w:val="003160C0"/>
    <w:rsid w:val="00316254"/>
    <w:rsid w:val="0031628A"/>
    <w:rsid w:val="003168F5"/>
    <w:rsid w:val="00316C48"/>
    <w:rsid w:val="003171C0"/>
    <w:rsid w:val="003176E8"/>
    <w:rsid w:val="0031774A"/>
    <w:rsid w:val="00317A7C"/>
    <w:rsid w:val="00317DC8"/>
    <w:rsid w:val="00320385"/>
    <w:rsid w:val="0032048F"/>
    <w:rsid w:val="00320825"/>
    <w:rsid w:val="00320CF5"/>
    <w:rsid w:val="003214EA"/>
    <w:rsid w:val="00321740"/>
    <w:rsid w:val="003218F4"/>
    <w:rsid w:val="00321EEF"/>
    <w:rsid w:val="00322107"/>
    <w:rsid w:val="003222D1"/>
    <w:rsid w:val="003223DD"/>
    <w:rsid w:val="0032252C"/>
    <w:rsid w:val="00322DF4"/>
    <w:rsid w:val="0032315E"/>
    <w:rsid w:val="00323250"/>
    <w:rsid w:val="0032335E"/>
    <w:rsid w:val="003234DD"/>
    <w:rsid w:val="0032353A"/>
    <w:rsid w:val="00323547"/>
    <w:rsid w:val="0032373B"/>
    <w:rsid w:val="003237F4"/>
    <w:rsid w:val="00323801"/>
    <w:rsid w:val="00323B2A"/>
    <w:rsid w:val="00323C5A"/>
    <w:rsid w:val="00323D6B"/>
    <w:rsid w:val="00323D78"/>
    <w:rsid w:val="00323EB0"/>
    <w:rsid w:val="003240B1"/>
    <w:rsid w:val="0032423F"/>
    <w:rsid w:val="00324390"/>
    <w:rsid w:val="0032463F"/>
    <w:rsid w:val="0032490F"/>
    <w:rsid w:val="0032511F"/>
    <w:rsid w:val="00325172"/>
    <w:rsid w:val="003254DB"/>
    <w:rsid w:val="00325994"/>
    <w:rsid w:val="00325B31"/>
    <w:rsid w:val="003262ED"/>
    <w:rsid w:val="0032646D"/>
    <w:rsid w:val="00326606"/>
    <w:rsid w:val="00326DC0"/>
    <w:rsid w:val="00326DD6"/>
    <w:rsid w:val="00326EB1"/>
    <w:rsid w:val="00327110"/>
    <w:rsid w:val="00327436"/>
    <w:rsid w:val="00327868"/>
    <w:rsid w:val="00327C3C"/>
    <w:rsid w:val="00330561"/>
    <w:rsid w:val="0033057A"/>
    <w:rsid w:val="00330912"/>
    <w:rsid w:val="00330BEF"/>
    <w:rsid w:val="0033136E"/>
    <w:rsid w:val="003315C3"/>
    <w:rsid w:val="003316BD"/>
    <w:rsid w:val="00331859"/>
    <w:rsid w:val="00331B49"/>
    <w:rsid w:val="00331FB6"/>
    <w:rsid w:val="0033277F"/>
    <w:rsid w:val="003327B6"/>
    <w:rsid w:val="00332908"/>
    <w:rsid w:val="00332BFA"/>
    <w:rsid w:val="00332DD8"/>
    <w:rsid w:val="0033346E"/>
    <w:rsid w:val="00333845"/>
    <w:rsid w:val="00333EBE"/>
    <w:rsid w:val="00334230"/>
    <w:rsid w:val="0033435A"/>
    <w:rsid w:val="00334416"/>
    <w:rsid w:val="0033477F"/>
    <w:rsid w:val="0033483B"/>
    <w:rsid w:val="00335A45"/>
    <w:rsid w:val="00335B44"/>
    <w:rsid w:val="00335CAF"/>
    <w:rsid w:val="00335D0E"/>
    <w:rsid w:val="003364FC"/>
    <w:rsid w:val="00336549"/>
    <w:rsid w:val="003369D9"/>
    <w:rsid w:val="00336E05"/>
    <w:rsid w:val="003373AB"/>
    <w:rsid w:val="003373DE"/>
    <w:rsid w:val="00337F2C"/>
    <w:rsid w:val="00337FB6"/>
    <w:rsid w:val="00340205"/>
    <w:rsid w:val="00340C6F"/>
    <w:rsid w:val="00340FB8"/>
    <w:rsid w:val="00341074"/>
    <w:rsid w:val="00341417"/>
    <w:rsid w:val="003416CD"/>
    <w:rsid w:val="0034170A"/>
    <w:rsid w:val="00341C40"/>
    <w:rsid w:val="00341C77"/>
    <w:rsid w:val="00341CBA"/>
    <w:rsid w:val="00342401"/>
    <w:rsid w:val="00342605"/>
    <w:rsid w:val="00343042"/>
    <w:rsid w:val="00343B97"/>
    <w:rsid w:val="00343F0B"/>
    <w:rsid w:val="00345027"/>
    <w:rsid w:val="003452F4"/>
    <w:rsid w:val="00345569"/>
    <w:rsid w:val="00345BEA"/>
    <w:rsid w:val="00345D36"/>
    <w:rsid w:val="00345DB0"/>
    <w:rsid w:val="0034656E"/>
    <w:rsid w:val="003472D9"/>
    <w:rsid w:val="00347C98"/>
    <w:rsid w:val="00347F6E"/>
    <w:rsid w:val="00350B07"/>
    <w:rsid w:val="00351615"/>
    <w:rsid w:val="00351689"/>
    <w:rsid w:val="00351EC0"/>
    <w:rsid w:val="00351F70"/>
    <w:rsid w:val="00352101"/>
    <w:rsid w:val="00352287"/>
    <w:rsid w:val="0035235A"/>
    <w:rsid w:val="0035235B"/>
    <w:rsid w:val="00352731"/>
    <w:rsid w:val="003527DB"/>
    <w:rsid w:val="003529A0"/>
    <w:rsid w:val="00353180"/>
    <w:rsid w:val="00354C0B"/>
    <w:rsid w:val="003550F1"/>
    <w:rsid w:val="0035530C"/>
    <w:rsid w:val="003555C2"/>
    <w:rsid w:val="00355A87"/>
    <w:rsid w:val="00355B3E"/>
    <w:rsid w:val="00355F80"/>
    <w:rsid w:val="00356019"/>
    <w:rsid w:val="0035690A"/>
    <w:rsid w:val="00356AE1"/>
    <w:rsid w:val="00356C99"/>
    <w:rsid w:val="0035751D"/>
    <w:rsid w:val="0035787A"/>
    <w:rsid w:val="00357C6C"/>
    <w:rsid w:val="003608EC"/>
    <w:rsid w:val="00360C72"/>
    <w:rsid w:val="0036148B"/>
    <w:rsid w:val="003615CC"/>
    <w:rsid w:val="00362208"/>
    <w:rsid w:val="003623E7"/>
    <w:rsid w:val="00362662"/>
    <w:rsid w:val="00362702"/>
    <w:rsid w:val="003627AA"/>
    <w:rsid w:val="0036284F"/>
    <w:rsid w:val="00362B3D"/>
    <w:rsid w:val="00362C1F"/>
    <w:rsid w:val="003634E4"/>
    <w:rsid w:val="00363851"/>
    <w:rsid w:val="003639B5"/>
    <w:rsid w:val="00363C08"/>
    <w:rsid w:val="00363D67"/>
    <w:rsid w:val="00363E08"/>
    <w:rsid w:val="0036413D"/>
    <w:rsid w:val="00364B2B"/>
    <w:rsid w:val="00364E3E"/>
    <w:rsid w:val="00364E77"/>
    <w:rsid w:val="00365CE7"/>
    <w:rsid w:val="003667E7"/>
    <w:rsid w:val="00366800"/>
    <w:rsid w:val="0036689C"/>
    <w:rsid w:val="00366BFF"/>
    <w:rsid w:val="003670B8"/>
    <w:rsid w:val="0036731A"/>
    <w:rsid w:val="0036731D"/>
    <w:rsid w:val="0036793D"/>
    <w:rsid w:val="00367956"/>
    <w:rsid w:val="00367AE0"/>
    <w:rsid w:val="00367B7D"/>
    <w:rsid w:val="00367E6C"/>
    <w:rsid w:val="00367F7E"/>
    <w:rsid w:val="003705B5"/>
    <w:rsid w:val="00370A2A"/>
    <w:rsid w:val="00370A7E"/>
    <w:rsid w:val="00371A2C"/>
    <w:rsid w:val="00371D18"/>
    <w:rsid w:val="0037228A"/>
    <w:rsid w:val="003728B3"/>
    <w:rsid w:val="00372B73"/>
    <w:rsid w:val="00372D1C"/>
    <w:rsid w:val="00372D90"/>
    <w:rsid w:val="0037329F"/>
    <w:rsid w:val="0037347A"/>
    <w:rsid w:val="00373495"/>
    <w:rsid w:val="0037359B"/>
    <w:rsid w:val="00373626"/>
    <w:rsid w:val="00373A42"/>
    <w:rsid w:val="00373B19"/>
    <w:rsid w:val="00373C0A"/>
    <w:rsid w:val="00373FFE"/>
    <w:rsid w:val="00374E19"/>
    <w:rsid w:val="00374F86"/>
    <w:rsid w:val="003750AB"/>
    <w:rsid w:val="00375696"/>
    <w:rsid w:val="00375B49"/>
    <w:rsid w:val="003761E1"/>
    <w:rsid w:val="00376D61"/>
    <w:rsid w:val="00376FDA"/>
    <w:rsid w:val="00377098"/>
    <w:rsid w:val="003773AC"/>
    <w:rsid w:val="0037797D"/>
    <w:rsid w:val="00380071"/>
    <w:rsid w:val="00380210"/>
    <w:rsid w:val="0038048A"/>
    <w:rsid w:val="00380885"/>
    <w:rsid w:val="00380AA3"/>
    <w:rsid w:val="00380BD0"/>
    <w:rsid w:val="00381047"/>
    <w:rsid w:val="00381FF0"/>
    <w:rsid w:val="0038203B"/>
    <w:rsid w:val="00382085"/>
    <w:rsid w:val="0038313E"/>
    <w:rsid w:val="0038328C"/>
    <w:rsid w:val="00383374"/>
    <w:rsid w:val="003833B6"/>
    <w:rsid w:val="00383428"/>
    <w:rsid w:val="003838C6"/>
    <w:rsid w:val="00384773"/>
    <w:rsid w:val="00384A65"/>
    <w:rsid w:val="00384B14"/>
    <w:rsid w:val="00384B7F"/>
    <w:rsid w:val="00384DE7"/>
    <w:rsid w:val="00385748"/>
    <w:rsid w:val="003867B3"/>
    <w:rsid w:val="003867E9"/>
    <w:rsid w:val="00386AC6"/>
    <w:rsid w:val="00386AE4"/>
    <w:rsid w:val="00387077"/>
    <w:rsid w:val="00387103"/>
    <w:rsid w:val="00387799"/>
    <w:rsid w:val="0038795A"/>
    <w:rsid w:val="0039012A"/>
    <w:rsid w:val="00390B1A"/>
    <w:rsid w:val="00390DD0"/>
    <w:rsid w:val="00390E92"/>
    <w:rsid w:val="00390FDD"/>
    <w:rsid w:val="0039106C"/>
    <w:rsid w:val="003912E0"/>
    <w:rsid w:val="00391438"/>
    <w:rsid w:val="0039187B"/>
    <w:rsid w:val="00391B32"/>
    <w:rsid w:val="003923A2"/>
    <w:rsid w:val="0039273D"/>
    <w:rsid w:val="00392DB8"/>
    <w:rsid w:val="00393516"/>
    <w:rsid w:val="0039370C"/>
    <w:rsid w:val="0039373C"/>
    <w:rsid w:val="00393F1A"/>
    <w:rsid w:val="003940BB"/>
    <w:rsid w:val="0039431D"/>
    <w:rsid w:val="0039507B"/>
    <w:rsid w:val="00395292"/>
    <w:rsid w:val="00395684"/>
    <w:rsid w:val="003962E3"/>
    <w:rsid w:val="00396706"/>
    <w:rsid w:val="00396F95"/>
    <w:rsid w:val="0039731D"/>
    <w:rsid w:val="0039765A"/>
    <w:rsid w:val="00397C50"/>
    <w:rsid w:val="003A0B0E"/>
    <w:rsid w:val="003A0D41"/>
    <w:rsid w:val="003A0DA2"/>
    <w:rsid w:val="003A13BE"/>
    <w:rsid w:val="003A13FA"/>
    <w:rsid w:val="003A153F"/>
    <w:rsid w:val="003A17CC"/>
    <w:rsid w:val="003A17FE"/>
    <w:rsid w:val="003A18A3"/>
    <w:rsid w:val="003A18CE"/>
    <w:rsid w:val="003A1A3C"/>
    <w:rsid w:val="003A1EF7"/>
    <w:rsid w:val="003A2106"/>
    <w:rsid w:val="003A24FD"/>
    <w:rsid w:val="003A25B9"/>
    <w:rsid w:val="003A2B41"/>
    <w:rsid w:val="003A2F5A"/>
    <w:rsid w:val="003A3009"/>
    <w:rsid w:val="003A3027"/>
    <w:rsid w:val="003A330F"/>
    <w:rsid w:val="003A375B"/>
    <w:rsid w:val="003A3B57"/>
    <w:rsid w:val="003A3CF5"/>
    <w:rsid w:val="003A45DF"/>
    <w:rsid w:val="003A4860"/>
    <w:rsid w:val="003A49C9"/>
    <w:rsid w:val="003A4C31"/>
    <w:rsid w:val="003A4FFF"/>
    <w:rsid w:val="003A5606"/>
    <w:rsid w:val="003A56F7"/>
    <w:rsid w:val="003A5B29"/>
    <w:rsid w:val="003A6043"/>
    <w:rsid w:val="003A6A30"/>
    <w:rsid w:val="003A6A82"/>
    <w:rsid w:val="003A6F1B"/>
    <w:rsid w:val="003A6F44"/>
    <w:rsid w:val="003A6FB5"/>
    <w:rsid w:val="003B01B5"/>
    <w:rsid w:val="003B0457"/>
    <w:rsid w:val="003B0557"/>
    <w:rsid w:val="003B0830"/>
    <w:rsid w:val="003B093D"/>
    <w:rsid w:val="003B0BCF"/>
    <w:rsid w:val="003B0D65"/>
    <w:rsid w:val="003B14A0"/>
    <w:rsid w:val="003B189E"/>
    <w:rsid w:val="003B1D74"/>
    <w:rsid w:val="003B2052"/>
    <w:rsid w:val="003B206D"/>
    <w:rsid w:val="003B25D7"/>
    <w:rsid w:val="003B2627"/>
    <w:rsid w:val="003B273D"/>
    <w:rsid w:val="003B2926"/>
    <w:rsid w:val="003B317D"/>
    <w:rsid w:val="003B325B"/>
    <w:rsid w:val="003B3A18"/>
    <w:rsid w:val="003B4535"/>
    <w:rsid w:val="003B4876"/>
    <w:rsid w:val="003B525C"/>
    <w:rsid w:val="003B52FC"/>
    <w:rsid w:val="003B5850"/>
    <w:rsid w:val="003B594E"/>
    <w:rsid w:val="003B5B81"/>
    <w:rsid w:val="003B5B8C"/>
    <w:rsid w:val="003B6292"/>
    <w:rsid w:val="003B6BE2"/>
    <w:rsid w:val="003B7AF7"/>
    <w:rsid w:val="003B7FEA"/>
    <w:rsid w:val="003C0158"/>
    <w:rsid w:val="003C0B2A"/>
    <w:rsid w:val="003C127C"/>
    <w:rsid w:val="003C15E5"/>
    <w:rsid w:val="003C1BF6"/>
    <w:rsid w:val="003C2382"/>
    <w:rsid w:val="003C24A3"/>
    <w:rsid w:val="003C26DD"/>
    <w:rsid w:val="003C2789"/>
    <w:rsid w:val="003C2819"/>
    <w:rsid w:val="003C33B2"/>
    <w:rsid w:val="003C3551"/>
    <w:rsid w:val="003C3806"/>
    <w:rsid w:val="003C3B12"/>
    <w:rsid w:val="003C3BBC"/>
    <w:rsid w:val="003C3D16"/>
    <w:rsid w:val="003C3FBA"/>
    <w:rsid w:val="003C429C"/>
    <w:rsid w:val="003C45A9"/>
    <w:rsid w:val="003C46B0"/>
    <w:rsid w:val="003C48CF"/>
    <w:rsid w:val="003C50E4"/>
    <w:rsid w:val="003C5310"/>
    <w:rsid w:val="003C5C90"/>
    <w:rsid w:val="003C5D46"/>
    <w:rsid w:val="003C650D"/>
    <w:rsid w:val="003C680B"/>
    <w:rsid w:val="003C6822"/>
    <w:rsid w:val="003C6C42"/>
    <w:rsid w:val="003C6FDD"/>
    <w:rsid w:val="003C71A9"/>
    <w:rsid w:val="003C7574"/>
    <w:rsid w:val="003C79F1"/>
    <w:rsid w:val="003D0037"/>
    <w:rsid w:val="003D010D"/>
    <w:rsid w:val="003D0590"/>
    <w:rsid w:val="003D12C2"/>
    <w:rsid w:val="003D1FBB"/>
    <w:rsid w:val="003D2177"/>
    <w:rsid w:val="003D224A"/>
    <w:rsid w:val="003D24B9"/>
    <w:rsid w:val="003D2974"/>
    <w:rsid w:val="003D303A"/>
    <w:rsid w:val="003D366F"/>
    <w:rsid w:val="003D3C97"/>
    <w:rsid w:val="003D44B7"/>
    <w:rsid w:val="003D49E3"/>
    <w:rsid w:val="003D50A3"/>
    <w:rsid w:val="003D5BF6"/>
    <w:rsid w:val="003D5D44"/>
    <w:rsid w:val="003D6793"/>
    <w:rsid w:val="003D6882"/>
    <w:rsid w:val="003D6A2E"/>
    <w:rsid w:val="003D6E1D"/>
    <w:rsid w:val="003D70B0"/>
    <w:rsid w:val="003D716A"/>
    <w:rsid w:val="003E0924"/>
    <w:rsid w:val="003E0A23"/>
    <w:rsid w:val="003E0F42"/>
    <w:rsid w:val="003E1AFC"/>
    <w:rsid w:val="003E20A1"/>
    <w:rsid w:val="003E20E7"/>
    <w:rsid w:val="003E2307"/>
    <w:rsid w:val="003E2581"/>
    <w:rsid w:val="003E262E"/>
    <w:rsid w:val="003E275F"/>
    <w:rsid w:val="003E29C5"/>
    <w:rsid w:val="003E2E2D"/>
    <w:rsid w:val="003E30BB"/>
    <w:rsid w:val="003E3195"/>
    <w:rsid w:val="003E31A7"/>
    <w:rsid w:val="003E3B90"/>
    <w:rsid w:val="003E3BB6"/>
    <w:rsid w:val="003E3F86"/>
    <w:rsid w:val="003E3FDD"/>
    <w:rsid w:val="003E41F6"/>
    <w:rsid w:val="003E44B0"/>
    <w:rsid w:val="003E48E7"/>
    <w:rsid w:val="003E4AA8"/>
    <w:rsid w:val="003E4B9B"/>
    <w:rsid w:val="003E53AD"/>
    <w:rsid w:val="003E5519"/>
    <w:rsid w:val="003E5B31"/>
    <w:rsid w:val="003E5CB6"/>
    <w:rsid w:val="003E5E1B"/>
    <w:rsid w:val="003E5EA8"/>
    <w:rsid w:val="003E6829"/>
    <w:rsid w:val="003E6E01"/>
    <w:rsid w:val="003E7250"/>
    <w:rsid w:val="003E7552"/>
    <w:rsid w:val="003E768E"/>
    <w:rsid w:val="003E7763"/>
    <w:rsid w:val="003E78AA"/>
    <w:rsid w:val="003E79A9"/>
    <w:rsid w:val="003E7A7D"/>
    <w:rsid w:val="003F004D"/>
    <w:rsid w:val="003F0317"/>
    <w:rsid w:val="003F0439"/>
    <w:rsid w:val="003F0F27"/>
    <w:rsid w:val="003F12DB"/>
    <w:rsid w:val="003F1CA7"/>
    <w:rsid w:val="003F1D1B"/>
    <w:rsid w:val="003F210A"/>
    <w:rsid w:val="003F2490"/>
    <w:rsid w:val="003F29A3"/>
    <w:rsid w:val="003F32EA"/>
    <w:rsid w:val="003F3516"/>
    <w:rsid w:val="003F423F"/>
    <w:rsid w:val="003F5203"/>
    <w:rsid w:val="003F53BB"/>
    <w:rsid w:val="003F53BC"/>
    <w:rsid w:val="003F5444"/>
    <w:rsid w:val="003F5EB8"/>
    <w:rsid w:val="003F638B"/>
    <w:rsid w:val="003F6398"/>
    <w:rsid w:val="003F65D2"/>
    <w:rsid w:val="003F7075"/>
    <w:rsid w:val="003F7085"/>
    <w:rsid w:val="003F725E"/>
    <w:rsid w:val="003F7E04"/>
    <w:rsid w:val="00400683"/>
    <w:rsid w:val="004012DD"/>
    <w:rsid w:val="00401F1B"/>
    <w:rsid w:val="00401F87"/>
    <w:rsid w:val="00402491"/>
    <w:rsid w:val="0040254E"/>
    <w:rsid w:val="0040258F"/>
    <w:rsid w:val="00402798"/>
    <w:rsid w:val="004028CB"/>
    <w:rsid w:val="00402BC0"/>
    <w:rsid w:val="00403087"/>
    <w:rsid w:val="004031AE"/>
    <w:rsid w:val="00403286"/>
    <w:rsid w:val="00403985"/>
    <w:rsid w:val="00403D53"/>
    <w:rsid w:val="00403F9E"/>
    <w:rsid w:val="00404492"/>
    <w:rsid w:val="004048DF"/>
    <w:rsid w:val="00404A3E"/>
    <w:rsid w:val="004053EB"/>
    <w:rsid w:val="004054E0"/>
    <w:rsid w:val="00406007"/>
    <w:rsid w:val="00406297"/>
    <w:rsid w:val="00406F98"/>
    <w:rsid w:val="004070B3"/>
    <w:rsid w:val="00407195"/>
    <w:rsid w:val="0040731B"/>
    <w:rsid w:val="00407651"/>
    <w:rsid w:val="00407936"/>
    <w:rsid w:val="00407B8B"/>
    <w:rsid w:val="00407CA0"/>
    <w:rsid w:val="00410518"/>
    <w:rsid w:val="00410ACA"/>
    <w:rsid w:val="00410C46"/>
    <w:rsid w:val="004122AA"/>
    <w:rsid w:val="004123B2"/>
    <w:rsid w:val="004123FA"/>
    <w:rsid w:val="004126D2"/>
    <w:rsid w:val="004127D8"/>
    <w:rsid w:val="00412EC4"/>
    <w:rsid w:val="0041301F"/>
    <w:rsid w:val="00413303"/>
    <w:rsid w:val="0041337C"/>
    <w:rsid w:val="00413500"/>
    <w:rsid w:val="00413534"/>
    <w:rsid w:val="0041366D"/>
    <w:rsid w:val="00413701"/>
    <w:rsid w:val="00413A1F"/>
    <w:rsid w:val="00413D63"/>
    <w:rsid w:val="00414403"/>
    <w:rsid w:val="00414A96"/>
    <w:rsid w:val="00414DBF"/>
    <w:rsid w:val="00414EE8"/>
    <w:rsid w:val="00415666"/>
    <w:rsid w:val="00415C11"/>
    <w:rsid w:val="00415D94"/>
    <w:rsid w:val="00416149"/>
    <w:rsid w:val="00416B1A"/>
    <w:rsid w:val="00417092"/>
    <w:rsid w:val="0041755E"/>
    <w:rsid w:val="00417A71"/>
    <w:rsid w:val="00417A83"/>
    <w:rsid w:val="00417CC0"/>
    <w:rsid w:val="004201BE"/>
    <w:rsid w:val="004203BA"/>
    <w:rsid w:val="004204F3"/>
    <w:rsid w:val="0042051F"/>
    <w:rsid w:val="00420B0D"/>
    <w:rsid w:val="00420E81"/>
    <w:rsid w:val="00421793"/>
    <w:rsid w:val="004219B8"/>
    <w:rsid w:val="004219FD"/>
    <w:rsid w:val="00421AD4"/>
    <w:rsid w:val="00421D5C"/>
    <w:rsid w:val="00421DDA"/>
    <w:rsid w:val="00422159"/>
    <w:rsid w:val="004225BB"/>
    <w:rsid w:val="004228F3"/>
    <w:rsid w:val="00422A48"/>
    <w:rsid w:val="00422AFD"/>
    <w:rsid w:val="00422FC3"/>
    <w:rsid w:val="00423433"/>
    <w:rsid w:val="004238F2"/>
    <w:rsid w:val="00423AEF"/>
    <w:rsid w:val="00424420"/>
    <w:rsid w:val="0042460D"/>
    <w:rsid w:val="00424781"/>
    <w:rsid w:val="00424918"/>
    <w:rsid w:val="00424A3A"/>
    <w:rsid w:val="00424DF9"/>
    <w:rsid w:val="0042507B"/>
    <w:rsid w:val="004257A7"/>
    <w:rsid w:val="00425DE6"/>
    <w:rsid w:val="00426416"/>
    <w:rsid w:val="0042650D"/>
    <w:rsid w:val="0042666D"/>
    <w:rsid w:val="004267B7"/>
    <w:rsid w:val="00426CF8"/>
    <w:rsid w:val="00427138"/>
    <w:rsid w:val="0042765A"/>
    <w:rsid w:val="00427744"/>
    <w:rsid w:val="00427D79"/>
    <w:rsid w:val="00430A85"/>
    <w:rsid w:val="00430B11"/>
    <w:rsid w:val="00430E0B"/>
    <w:rsid w:val="00431504"/>
    <w:rsid w:val="00431A88"/>
    <w:rsid w:val="00431EFF"/>
    <w:rsid w:val="004321D5"/>
    <w:rsid w:val="0043250F"/>
    <w:rsid w:val="00432A40"/>
    <w:rsid w:val="00432FC6"/>
    <w:rsid w:val="004330AB"/>
    <w:rsid w:val="00433E3D"/>
    <w:rsid w:val="0043450C"/>
    <w:rsid w:val="00434615"/>
    <w:rsid w:val="0043470D"/>
    <w:rsid w:val="00434913"/>
    <w:rsid w:val="00434A66"/>
    <w:rsid w:val="00434B56"/>
    <w:rsid w:val="004354DB"/>
    <w:rsid w:val="00436129"/>
    <w:rsid w:val="00437989"/>
    <w:rsid w:val="0044011D"/>
    <w:rsid w:val="00440274"/>
    <w:rsid w:val="0044065F"/>
    <w:rsid w:val="0044066E"/>
    <w:rsid w:val="004407BF"/>
    <w:rsid w:val="00440B51"/>
    <w:rsid w:val="00441860"/>
    <w:rsid w:val="00441A24"/>
    <w:rsid w:val="00441C8C"/>
    <w:rsid w:val="00442AB6"/>
    <w:rsid w:val="004430CA"/>
    <w:rsid w:val="00443277"/>
    <w:rsid w:val="00443582"/>
    <w:rsid w:val="00443BBF"/>
    <w:rsid w:val="00444759"/>
    <w:rsid w:val="0044491F"/>
    <w:rsid w:val="00444D08"/>
    <w:rsid w:val="00444DF4"/>
    <w:rsid w:val="004451BF"/>
    <w:rsid w:val="00445F1B"/>
    <w:rsid w:val="00446209"/>
    <w:rsid w:val="00446615"/>
    <w:rsid w:val="004467E8"/>
    <w:rsid w:val="00446857"/>
    <w:rsid w:val="004468EB"/>
    <w:rsid w:val="00446DDC"/>
    <w:rsid w:val="00446F19"/>
    <w:rsid w:val="0044709F"/>
    <w:rsid w:val="00447352"/>
    <w:rsid w:val="0044740D"/>
    <w:rsid w:val="0044765D"/>
    <w:rsid w:val="0045009B"/>
    <w:rsid w:val="0045017A"/>
    <w:rsid w:val="0045042D"/>
    <w:rsid w:val="0045085E"/>
    <w:rsid w:val="00451313"/>
    <w:rsid w:val="004513D2"/>
    <w:rsid w:val="00451AA6"/>
    <w:rsid w:val="00451C9E"/>
    <w:rsid w:val="0045249A"/>
    <w:rsid w:val="004525D8"/>
    <w:rsid w:val="00453926"/>
    <w:rsid w:val="004539B5"/>
    <w:rsid w:val="00453C1D"/>
    <w:rsid w:val="00453C2B"/>
    <w:rsid w:val="00453DCE"/>
    <w:rsid w:val="004541AB"/>
    <w:rsid w:val="004547A3"/>
    <w:rsid w:val="004548F1"/>
    <w:rsid w:val="00455190"/>
    <w:rsid w:val="0045521E"/>
    <w:rsid w:val="00455287"/>
    <w:rsid w:val="0045558C"/>
    <w:rsid w:val="00455B2E"/>
    <w:rsid w:val="00455FAE"/>
    <w:rsid w:val="004560C2"/>
    <w:rsid w:val="004564BD"/>
    <w:rsid w:val="004564EB"/>
    <w:rsid w:val="0045685D"/>
    <w:rsid w:val="00456A35"/>
    <w:rsid w:val="00456AC6"/>
    <w:rsid w:val="00456C64"/>
    <w:rsid w:val="00457054"/>
    <w:rsid w:val="0045795D"/>
    <w:rsid w:val="00457C17"/>
    <w:rsid w:val="00457C94"/>
    <w:rsid w:val="00457EBA"/>
    <w:rsid w:val="0046036E"/>
    <w:rsid w:val="0046045C"/>
    <w:rsid w:val="004607C9"/>
    <w:rsid w:val="00460BE4"/>
    <w:rsid w:val="004624B2"/>
    <w:rsid w:val="00462764"/>
    <w:rsid w:val="00462A02"/>
    <w:rsid w:val="00462AEF"/>
    <w:rsid w:val="00462C8A"/>
    <w:rsid w:val="00462E01"/>
    <w:rsid w:val="00462F0D"/>
    <w:rsid w:val="00463145"/>
    <w:rsid w:val="004637FD"/>
    <w:rsid w:val="00463B4F"/>
    <w:rsid w:val="00463D53"/>
    <w:rsid w:val="00463E88"/>
    <w:rsid w:val="00464014"/>
    <w:rsid w:val="00464612"/>
    <w:rsid w:val="00464656"/>
    <w:rsid w:val="00464E46"/>
    <w:rsid w:val="00464F62"/>
    <w:rsid w:val="004653CA"/>
    <w:rsid w:val="00465896"/>
    <w:rsid w:val="00465A48"/>
    <w:rsid w:val="00465D01"/>
    <w:rsid w:val="00465EEA"/>
    <w:rsid w:val="00466192"/>
    <w:rsid w:val="00466639"/>
    <w:rsid w:val="004666C6"/>
    <w:rsid w:val="00466811"/>
    <w:rsid w:val="004669A8"/>
    <w:rsid w:val="004674FA"/>
    <w:rsid w:val="0046775F"/>
    <w:rsid w:val="004679BA"/>
    <w:rsid w:val="00467AE6"/>
    <w:rsid w:val="00470368"/>
    <w:rsid w:val="004706BC"/>
    <w:rsid w:val="00470C75"/>
    <w:rsid w:val="00470F47"/>
    <w:rsid w:val="00471205"/>
    <w:rsid w:val="004712F4"/>
    <w:rsid w:val="004715F6"/>
    <w:rsid w:val="0047187A"/>
    <w:rsid w:val="00471CEA"/>
    <w:rsid w:val="00471D59"/>
    <w:rsid w:val="004721FE"/>
    <w:rsid w:val="00472283"/>
    <w:rsid w:val="004726BC"/>
    <w:rsid w:val="0047309F"/>
    <w:rsid w:val="00473167"/>
    <w:rsid w:val="004737AA"/>
    <w:rsid w:val="004737E1"/>
    <w:rsid w:val="00473A44"/>
    <w:rsid w:val="00473B1C"/>
    <w:rsid w:val="004749A7"/>
    <w:rsid w:val="00474D2A"/>
    <w:rsid w:val="0047511A"/>
    <w:rsid w:val="00475978"/>
    <w:rsid w:val="00475F36"/>
    <w:rsid w:val="00476424"/>
    <w:rsid w:val="004765F6"/>
    <w:rsid w:val="00476700"/>
    <w:rsid w:val="00476B37"/>
    <w:rsid w:val="00477FFC"/>
    <w:rsid w:val="00480096"/>
    <w:rsid w:val="00480BC1"/>
    <w:rsid w:val="0048132A"/>
    <w:rsid w:val="0048190D"/>
    <w:rsid w:val="004822E8"/>
    <w:rsid w:val="00482472"/>
    <w:rsid w:val="004829CE"/>
    <w:rsid w:val="00482A1D"/>
    <w:rsid w:val="00482E79"/>
    <w:rsid w:val="00483890"/>
    <w:rsid w:val="0048401A"/>
    <w:rsid w:val="004843F3"/>
    <w:rsid w:val="00484428"/>
    <w:rsid w:val="004848A1"/>
    <w:rsid w:val="00484AEA"/>
    <w:rsid w:val="00484B4C"/>
    <w:rsid w:val="00484C15"/>
    <w:rsid w:val="00484D60"/>
    <w:rsid w:val="004852DB"/>
    <w:rsid w:val="00485453"/>
    <w:rsid w:val="00485641"/>
    <w:rsid w:val="00485B9C"/>
    <w:rsid w:val="00485F1E"/>
    <w:rsid w:val="00486EDC"/>
    <w:rsid w:val="00486F90"/>
    <w:rsid w:val="004870B8"/>
    <w:rsid w:val="00487B91"/>
    <w:rsid w:val="00490393"/>
    <w:rsid w:val="00490958"/>
    <w:rsid w:val="00490B05"/>
    <w:rsid w:val="00491451"/>
    <w:rsid w:val="00491485"/>
    <w:rsid w:val="004916C5"/>
    <w:rsid w:val="00491BFB"/>
    <w:rsid w:val="00492733"/>
    <w:rsid w:val="00492DF7"/>
    <w:rsid w:val="00492EE3"/>
    <w:rsid w:val="00493141"/>
    <w:rsid w:val="0049337E"/>
    <w:rsid w:val="004937AD"/>
    <w:rsid w:val="00493D65"/>
    <w:rsid w:val="00493D8F"/>
    <w:rsid w:val="00493DE0"/>
    <w:rsid w:val="004942D1"/>
    <w:rsid w:val="00494501"/>
    <w:rsid w:val="00495187"/>
    <w:rsid w:val="00495478"/>
    <w:rsid w:val="00495BB5"/>
    <w:rsid w:val="00495E91"/>
    <w:rsid w:val="004967D7"/>
    <w:rsid w:val="00496C1D"/>
    <w:rsid w:val="00496D6C"/>
    <w:rsid w:val="00496E0D"/>
    <w:rsid w:val="00496ECD"/>
    <w:rsid w:val="004976BF"/>
    <w:rsid w:val="0049771F"/>
    <w:rsid w:val="00497891"/>
    <w:rsid w:val="00497981"/>
    <w:rsid w:val="00497AFF"/>
    <w:rsid w:val="00497E6D"/>
    <w:rsid w:val="004A03B7"/>
    <w:rsid w:val="004A0442"/>
    <w:rsid w:val="004A04F8"/>
    <w:rsid w:val="004A06D4"/>
    <w:rsid w:val="004A084A"/>
    <w:rsid w:val="004A0CA9"/>
    <w:rsid w:val="004A0F71"/>
    <w:rsid w:val="004A107F"/>
    <w:rsid w:val="004A17C1"/>
    <w:rsid w:val="004A191A"/>
    <w:rsid w:val="004A194F"/>
    <w:rsid w:val="004A1F84"/>
    <w:rsid w:val="004A23BB"/>
    <w:rsid w:val="004A2578"/>
    <w:rsid w:val="004A2D5B"/>
    <w:rsid w:val="004A2E10"/>
    <w:rsid w:val="004A2FD9"/>
    <w:rsid w:val="004A374A"/>
    <w:rsid w:val="004A392E"/>
    <w:rsid w:val="004A43DC"/>
    <w:rsid w:val="004A551B"/>
    <w:rsid w:val="004A5748"/>
    <w:rsid w:val="004A5A9C"/>
    <w:rsid w:val="004A630B"/>
    <w:rsid w:val="004A67E3"/>
    <w:rsid w:val="004A711A"/>
    <w:rsid w:val="004A724A"/>
    <w:rsid w:val="004A7741"/>
    <w:rsid w:val="004A7766"/>
    <w:rsid w:val="004A77AA"/>
    <w:rsid w:val="004A7A56"/>
    <w:rsid w:val="004A7C39"/>
    <w:rsid w:val="004A7C5E"/>
    <w:rsid w:val="004A7CD9"/>
    <w:rsid w:val="004A7D72"/>
    <w:rsid w:val="004B07AB"/>
    <w:rsid w:val="004B0AE5"/>
    <w:rsid w:val="004B11D9"/>
    <w:rsid w:val="004B18D2"/>
    <w:rsid w:val="004B26AA"/>
    <w:rsid w:val="004B270F"/>
    <w:rsid w:val="004B2726"/>
    <w:rsid w:val="004B28C3"/>
    <w:rsid w:val="004B2E0A"/>
    <w:rsid w:val="004B2E96"/>
    <w:rsid w:val="004B2EE5"/>
    <w:rsid w:val="004B32DE"/>
    <w:rsid w:val="004B3538"/>
    <w:rsid w:val="004B3567"/>
    <w:rsid w:val="004B3CB9"/>
    <w:rsid w:val="004B3EA7"/>
    <w:rsid w:val="004B4670"/>
    <w:rsid w:val="004B4D04"/>
    <w:rsid w:val="004B4E99"/>
    <w:rsid w:val="004B4EDD"/>
    <w:rsid w:val="004B4F64"/>
    <w:rsid w:val="004B4FE4"/>
    <w:rsid w:val="004B50F3"/>
    <w:rsid w:val="004B51BB"/>
    <w:rsid w:val="004B5FCB"/>
    <w:rsid w:val="004B66C9"/>
    <w:rsid w:val="004B73D4"/>
    <w:rsid w:val="004B74EF"/>
    <w:rsid w:val="004B757E"/>
    <w:rsid w:val="004B7689"/>
    <w:rsid w:val="004B77BA"/>
    <w:rsid w:val="004C016B"/>
    <w:rsid w:val="004C030C"/>
    <w:rsid w:val="004C0626"/>
    <w:rsid w:val="004C09F3"/>
    <w:rsid w:val="004C0A2C"/>
    <w:rsid w:val="004C0B19"/>
    <w:rsid w:val="004C0BA8"/>
    <w:rsid w:val="004C0BC7"/>
    <w:rsid w:val="004C0F73"/>
    <w:rsid w:val="004C148B"/>
    <w:rsid w:val="004C180F"/>
    <w:rsid w:val="004C1C54"/>
    <w:rsid w:val="004C1C7D"/>
    <w:rsid w:val="004C1CC9"/>
    <w:rsid w:val="004C2187"/>
    <w:rsid w:val="004C2B8B"/>
    <w:rsid w:val="004C2DE8"/>
    <w:rsid w:val="004C36E2"/>
    <w:rsid w:val="004C382E"/>
    <w:rsid w:val="004C4334"/>
    <w:rsid w:val="004C43DE"/>
    <w:rsid w:val="004C4854"/>
    <w:rsid w:val="004C4F73"/>
    <w:rsid w:val="004C5228"/>
    <w:rsid w:val="004C55DF"/>
    <w:rsid w:val="004C59E4"/>
    <w:rsid w:val="004C5DB1"/>
    <w:rsid w:val="004C6554"/>
    <w:rsid w:val="004C6CFB"/>
    <w:rsid w:val="004C7589"/>
    <w:rsid w:val="004C7605"/>
    <w:rsid w:val="004C7659"/>
    <w:rsid w:val="004C7750"/>
    <w:rsid w:val="004C7B10"/>
    <w:rsid w:val="004C7C8E"/>
    <w:rsid w:val="004D04EA"/>
    <w:rsid w:val="004D085E"/>
    <w:rsid w:val="004D0AA4"/>
    <w:rsid w:val="004D0CD1"/>
    <w:rsid w:val="004D0E9E"/>
    <w:rsid w:val="004D0F7A"/>
    <w:rsid w:val="004D12BA"/>
    <w:rsid w:val="004D15E7"/>
    <w:rsid w:val="004D18F4"/>
    <w:rsid w:val="004D2160"/>
    <w:rsid w:val="004D2936"/>
    <w:rsid w:val="004D2A0C"/>
    <w:rsid w:val="004D2E5A"/>
    <w:rsid w:val="004D2F0C"/>
    <w:rsid w:val="004D328D"/>
    <w:rsid w:val="004D423B"/>
    <w:rsid w:val="004D4C5A"/>
    <w:rsid w:val="004D5000"/>
    <w:rsid w:val="004D543D"/>
    <w:rsid w:val="004D5467"/>
    <w:rsid w:val="004D561B"/>
    <w:rsid w:val="004D572D"/>
    <w:rsid w:val="004D58CB"/>
    <w:rsid w:val="004D58D8"/>
    <w:rsid w:val="004D5BF7"/>
    <w:rsid w:val="004D5CC1"/>
    <w:rsid w:val="004D61A3"/>
    <w:rsid w:val="004D62C6"/>
    <w:rsid w:val="004D68E8"/>
    <w:rsid w:val="004D69B3"/>
    <w:rsid w:val="004D6C8F"/>
    <w:rsid w:val="004D770C"/>
    <w:rsid w:val="004D7758"/>
    <w:rsid w:val="004D78CB"/>
    <w:rsid w:val="004E0570"/>
    <w:rsid w:val="004E07D8"/>
    <w:rsid w:val="004E0DDD"/>
    <w:rsid w:val="004E151D"/>
    <w:rsid w:val="004E1732"/>
    <w:rsid w:val="004E196D"/>
    <w:rsid w:val="004E29D0"/>
    <w:rsid w:val="004E2BFA"/>
    <w:rsid w:val="004E2C89"/>
    <w:rsid w:val="004E2CB6"/>
    <w:rsid w:val="004E3140"/>
    <w:rsid w:val="004E3A13"/>
    <w:rsid w:val="004E3AD0"/>
    <w:rsid w:val="004E3D59"/>
    <w:rsid w:val="004E4054"/>
    <w:rsid w:val="004E459B"/>
    <w:rsid w:val="004E4631"/>
    <w:rsid w:val="004E4DBD"/>
    <w:rsid w:val="004E4DED"/>
    <w:rsid w:val="004E50F0"/>
    <w:rsid w:val="004E51EA"/>
    <w:rsid w:val="004E54EC"/>
    <w:rsid w:val="004E5C53"/>
    <w:rsid w:val="004E5ECF"/>
    <w:rsid w:val="004E7139"/>
    <w:rsid w:val="004E7155"/>
    <w:rsid w:val="004E7642"/>
    <w:rsid w:val="004E76D1"/>
    <w:rsid w:val="004E7B36"/>
    <w:rsid w:val="004E7B9F"/>
    <w:rsid w:val="004F097B"/>
    <w:rsid w:val="004F0CC8"/>
    <w:rsid w:val="004F1168"/>
    <w:rsid w:val="004F167A"/>
    <w:rsid w:val="004F284D"/>
    <w:rsid w:val="004F2ABA"/>
    <w:rsid w:val="004F2ECD"/>
    <w:rsid w:val="004F343F"/>
    <w:rsid w:val="004F3672"/>
    <w:rsid w:val="004F3F5C"/>
    <w:rsid w:val="004F438E"/>
    <w:rsid w:val="004F4428"/>
    <w:rsid w:val="004F463E"/>
    <w:rsid w:val="004F46A8"/>
    <w:rsid w:val="004F48E0"/>
    <w:rsid w:val="004F4A4E"/>
    <w:rsid w:val="004F50F2"/>
    <w:rsid w:val="004F5413"/>
    <w:rsid w:val="004F5913"/>
    <w:rsid w:val="004F5A17"/>
    <w:rsid w:val="004F5AED"/>
    <w:rsid w:val="004F61D5"/>
    <w:rsid w:val="004F64B5"/>
    <w:rsid w:val="004F66D5"/>
    <w:rsid w:val="004F69A1"/>
    <w:rsid w:val="004F6BC0"/>
    <w:rsid w:val="004F6CDB"/>
    <w:rsid w:val="0050068E"/>
    <w:rsid w:val="00500B00"/>
    <w:rsid w:val="005019CA"/>
    <w:rsid w:val="00501FD1"/>
    <w:rsid w:val="00502DE4"/>
    <w:rsid w:val="00503576"/>
    <w:rsid w:val="0050421D"/>
    <w:rsid w:val="00504803"/>
    <w:rsid w:val="00504878"/>
    <w:rsid w:val="00504893"/>
    <w:rsid w:val="005049D6"/>
    <w:rsid w:val="00504B66"/>
    <w:rsid w:val="00504BBC"/>
    <w:rsid w:val="00505038"/>
    <w:rsid w:val="00505782"/>
    <w:rsid w:val="00505C44"/>
    <w:rsid w:val="00505D39"/>
    <w:rsid w:val="00505DC9"/>
    <w:rsid w:val="005061FB"/>
    <w:rsid w:val="00506351"/>
    <w:rsid w:val="005064EF"/>
    <w:rsid w:val="005064F4"/>
    <w:rsid w:val="00506803"/>
    <w:rsid w:val="00506F10"/>
    <w:rsid w:val="00506F23"/>
    <w:rsid w:val="00507DA1"/>
    <w:rsid w:val="005105CC"/>
    <w:rsid w:val="00510A41"/>
    <w:rsid w:val="00510E39"/>
    <w:rsid w:val="005111A5"/>
    <w:rsid w:val="00511207"/>
    <w:rsid w:val="00511C45"/>
    <w:rsid w:val="00511D6E"/>
    <w:rsid w:val="00512056"/>
    <w:rsid w:val="00512DA4"/>
    <w:rsid w:val="00512E97"/>
    <w:rsid w:val="0051319F"/>
    <w:rsid w:val="0051325C"/>
    <w:rsid w:val="00513522"/>
    <w:rsid w:val="00513871"/>
    <w:rsid w:val="00513C01"/>
    <w:rsid w:val="00513CEB"/>
    <w:rsid w:val="005142A2"/>
    <w:rsid w:val="005145BA"/>
    <w:rsid w:val="00514762"/>
    <w:rsid w:val="00514971"/>
    <w:rsid w:val="00514B2E"/>
    <w:rsid w:val="0051522A"/>
    <w:rsid w:val="005152A9"/>
    <w:rsid w:val="00515E81"/>
    <w:rsid w:val="00515F55"/>
    <w:rsid w:val="005164C5"/>
    <w:rsid w:val="00516770"/>
    <w:rsid w:val="00516DE4"/>
    <w:rsid w:val="005172C7"/>
    <w:rsid w:val="00517353"/>
    <w:rsid w:val="00517A8E"/>
    <w:rsid w:val="00517E1A"/>
    <w:rsid w:val="00517F66"/>
    <w:rsid w:val="00517FEB"/>
    <w:rsid w:val="005203CB"/>
    <w:rsid w:val="00520AF7"/>
    <w:rsid w:val="0052106E"/>
    <w:rsid w:val="00521111"/>
    <w:rsid w:val="005216DD"/>
    <w:rsid w:val="00521C88"/>
    <w:rsid w:val="00521CF6"/>
    <w:rsid w:val="00521D4B"/>
    <w:rsid w:val="00521DAC"/>
    <w:rsid w:val="00522090"/>
    <w:rsid w:val="005224BB"/>
    <w:rsid w:val="00522DA5"/>
    <w:rsid w:val="00522EDA"/>
    <w:rsid w:val="00522F17"/>
    <w:rsid w:val="00523164"/>
    <w:rsid w:val="00523B05"/>
    <w:rsid w:val="00523D9B"/>
    <w:rsid w:val="0052418A"/>
    <w:rsid w:val="00524734"/>
    <w:rsid w:val="00524C59"/>
    <w:rsid w:val="00524D4A"/>
    <w:rsid w:val="00524FA8"/>
    <w:rsid w:val="00525963"/>
    <w:rsid w:val="0052653D"/>
    <w:rsid w:val="00526763"/>
    <w:rsid w:val="005268F1"/>
    <w:rsid w:val="00526A5D"/>
    <w:rsid w:val="00527203"/>
    <w:rsid w:val="00527371"/>
    <w:rsid w:val="00527585"/>
    <w:rsid w:val="00527D36"/>
    <w:rsid w:val="00530122"/>
    <w:rsid w:val="00530417"/>
    <w:rsid w:val="005307AC"/>
    <w:rsid w:val="00530800"/>
    <w:rsid w:val="00530FCF"/>
    <w:rsid w:val="005313D8"/>
    <w:rsid w:val="00531B09"/>
    <w:rsid w:val="00531C9E"/>
    <w:rsid w:val="00531F9B"/>
    <w:rsid w:val="00533368"/>
    <w:rsid w:val="00533ABC"/>
    <w:rsid w:val="00533CCD"/>
    <w:rsid w:val="00534167"/>
    <w:rsid w:val="00534713"/>
    <w:rsid w:val="00534773"/>
    <w:rsid w:val="00534E4D"/>
    <w:rsid w:val="005350DA"/>
    <w:rsid w:val="005358F8"/>
    <w:rsid w:val="00535BB0"/>
    <w:rsid w:val="005364B2"/>
    <w:rsid w:val="0053661C"/>
    <w:rsid w:val="005369D5"/>
    <w:rsid w:val="00537237"/>
    <w:rsid w:val="005373D9"/>
    <w:rsid w:val="00537C6D"/>
    <w:rsid w:val="00537FAC"/>
    <w:rsid w:val="00540018"/>
    <w:rsid w:val="00540866"/>
    <w:rsid w:val="00540A4C"/>
    <w:rsid w:val="00540EFB"/>
    <w:rsid w:val="00541295"/>
    <w:rsid w:val="00542112"/>
    <w:rsid w:val="005427A6"/>
    <w:rsid w:val="0054296F"/>
    <w:rsid w:val="00542A19"/>
    <w:rsid w:val="00543001"/>
    <w:rsid w:val="005433AD"/>
    <w:rsid w:val="00543460"/>
    <w:rsid w:val="00543AF4"/>
    <w:rsid w:val="005441E5"/>
    <w:rsid w:val="00544465"/>
    <w:rsid w:val="005444BC"/>
    <w:rsid w:val="00544836"/>
    <w:rsid w:val="00544CA1"/>
    <w:rsid w:val="005452AE"/>
    <w:rsid w:val="00545561"/>
    <w:rsid w:val="00545A6C"/>
    <w:rsid w:val="00545FD2"/>
    <w:rsid w:val="00546469"/>
    <w:rsid w:val="005468DB"/>
    <w:rsid w:val="00546F6B"/>
    <w:rsid w:val="00547B8F"/>
    <w:rsid w:val="00547D53"/>
    <w:rsid w:val="00547F3F"/>
    <w:rsid w:val="005506ED"/>
    <w:rsid w:val="00550B29"/>
    <w:rsid w:val="00550E3C"/>
    <w:rsid w:val="0055123E"/>
    <w:rsid w:val="005513A8"/>
    <w:rsid w:val="00551EB5"/>
    <w:rsid w:val="0055208D"/>
    <w:rsid w:val="0055295D"/>
    <w:rsid w:val="00552DE8"/>
    <w:rsid w:val="00552DEE"/>
    <w:rsid w:val="005532C8"/>
    <w:rsid w:val="005536E1"/>
    <w:rsid w:val="00553A2F"/>
    <w:rsid w:val="00553B4F"/>
    <w:rsid w:val="0055410A"/>
    <w:rsid w:val="005545C6"/>
    <w:rsid w:val="005549F8"/>
    <w:rsid w:val="00554CC7"/>
    <w:rsid w:val="00554DFF"/>
    <w:rsid w:val="0055540E"/>
    <w:rsid w:val="005556BF"/>
    <w:rsid w:val="0055623F"/>
    <w:rsid w:val="00556452"/>
    <w:rsid w:val="005567A0"/>
    <w:rsid w:val="00556914"/>
    <w:rsid w:val="00556D2F"/>
    <w:rsid w:val="00557165"/>
    <w:rsid w:val="005571BD"/>
    <w:rsid w:val="005574B3"/>
    <w:rsid w:val="0055756B"/>
    <w:rsid w:val="005578DA"/>
    <w:rsid w:val="005579B9"/>
    <w:rsid w:val="00557C7E"/>
    <w:rsid w:val="00557CEE"/>
    <w:rsid w:val="0056066E"/>
    <w:rsid w:val="00560CE3"/>
    <w:rsid w:val="00560D71"/>
    <w:rsid w:val="005610B6"/>
    <w:rsid w:val="00561F45"/>
    <w:rsid w:val="00562227"/>
    <w:rsid w:val="0056270C"/>
    <w:rsid w:val="005630B5"/>
    <w:rsid w:val="005633B3"/>
    <w:rsid w:val="00564483"/>
    <w:rsid w:val="0056459F"/>
    <w:rsid w:val="005649C1"/>
    <w:rsid w:val="00564B8A"/>
    <w:rsid w:val="00564DA3"/>
    <w:rsid w:val="0056516A"/>
    <w:rsid w:val="005655DE"/>
    <w:rsid w:val="005656FB"/>
    <w:rsid w:val="005658ED"/>
    <w:rsid w:val="00565B5C"/>
    <w:rsid w:val="00565E01"/>
    <w:rsid w:val="005666DE"/>
    <w:rsid w:val="00566895"/>
    <w:rsid w:val="00566A50"/>
    <w:rsid w:val="00566A98"/>
    <w:rsid w:val="00566BF6"/>
    <w:rsid w:val="00567014"/>
    <w:rsid w:val="00567460"/>
    <w:rsid w:val="005675E4"/>
    <w:rsid w:val="0056778E"/>
    <w:rsid w:val="00567793"/>
    <w:rsid w:val="00567C4D"/>
    <w:rsid w:val="005700E6"/>
    <w:rsid w:val="00570135"/>
    <w:rsid w:val="00570313"/>
    <w:rsid w:val="0057032D"/>
    <w:rsid w:val="005708EF"/>
    <w:rsid w:val="0057161C"/>
    <w:rsid w:val="0057181F"/>
    <w:rsid w:val="00571C67"/>
    <w:rsid w:val="00571DAE"/>
    <w:rsid w:val="00571F1B"/>
    <w:rsid w:val="00571F67"/>
    <w:rsid w:val="00572089"/>
    <w:rsid w:val="005721D7"/>
    <w:rsid w:val="0057270D"/>
    <w:rsid w:val="00572CEA"/>
    <w:rsid w:val="0057390C"/>
    <w:rsid w:val="00573A49"/>
    <w:rsid w:val="00573EBA"/>
    <w:rsid w:val="00574364"/>
    <w:rsid w:val="00574B4D"/>
    <w:rsid w:val="00574D2A"/>
    <w:rsid w:val="00574E68"/>
    <w:rsid w:val="005751E2"/>
    <w:rsid w:val="0057583C"/>
    <w:rsid w:val="00575861"/>
    <w:rsid w:val="00576217"/>
    <w:rsid w:val="005766ED"/>
    <w:rsid w:val="00577728"/>
    <w:rsid w:val="00577CBC"/>
    <w:rsid w:val="0058011F"/>
    <w:rsid w:val="005802FE"/>
    <w:rsid w:val="00580B2F"/>
    <w:rsid w:val="00580F2B"/>
    <w:rsid w:val="005813EB"/>
    <w:rsid w:val="0058144E"/>
    <w:rsid w:val="00581969"/>
    <w:rsid w:val="00581998"/>
    <w:rsid w:val="00582266"/>
    <w:rsid w:val="0058236A"/>
    <w:rsid w:val="005829A6"/>
    <w:rsid w:val="005833F6"/>
    <w:rsid w:val="00583467"/>
    <w:rsid w:val="00583EF5"/>
    <w:rsid w:val="0058413D"/>
    <w:rsid w:val="00584AE7"/>
    <w:rsid w:val="00584C88"/>
    <w:rsid w:val="00584CEF"/>
    <w:rsid w:val="00584F64"/>
    <w:rsid w:val="00585176"/>
    <w:rsid w:val="00585348"/>
    <w:rsid w:val="005853E8"/>
    <w:rsid w:val="00585586"/>
    <w:rsid w:val="00585B9E"/>
    <w:rsid w:val="005864C9"/>
    <w:rsid w:val="005866EA"/>
    <w:rsid w:val="00586888"/>
    <w:rsid w:val="00586A65"/>
    <w:rsid w:val="00586D06"/>
    <w:rsid w:val="005870E2"/>
    <w:rsid w:val="00587568"/>
    <w:rsid w:val="0058785D"/>
    <w:rsid w:val="005879AC"/>
    <w:rsid w:val="00587D3E"/>
    <w:rsid w:val="00587D9D"/>
    <w:rsid w:val="00587DAA"/>
    <w:rsid w:val="005900CA"/>
    <w:rsid w:val="005906B0"/>
    <w:rsid w:val="005908FA"/>
    <w:rsid w:val="00591266"/>
    <w:rsid w:val="0059189C"/>
    <w:rsid w:val="00591E2A"/>
    <w:rsid w:val="005921F7"/>
    <w:rsid w:val="00592C9F"/>
    <w:rsid w:val="00594369"/>
    <w:rsid w:val="0059437B"/>
    <w:rsid w:val="00594ADB"/>
    <w:rsid w:val="00594F43"/>
    <w:rsid w:val="00595047"/>
    <w:rsid w:val="00595D9C"/>
    <w:rsid w:val="00596214"/>
    <w:rsid w:val="00596A0D"/>
    <w:rsid w:val="00596CD7"/>
    <w:rsid w:val="00596CF1"/>
    <w:rsid w:val="00596DD7"/>
    <w:rsid w:val="005970B6"/>
    <w:rsid w:val="00597110"/>
    <w:rsid w:val="00597829"/>
    <w:rsid w:val="005979E7"/>
    <w:rsid w:val="00597FB9"/>
    <w:rsid w:val="005A009F"/>
    <w:rsid w:val="005A023B"/>
    <w:rsid w:val="005A0261"/>
    <w:rsid w:val="005A052F"/>
    <w:rsid w:val="005A0743"/>
    <w:rsid w:val="005A0988"/>
    <w:rsid w:val="005A11E7"/>
    <w:rsid w:val="005A19B9"/>
    <w:rsid w:val="005A26D8"/>
    <w:rsid w:val="005A2BB9"/>
    <w:rsid w:val="005A335A"/>
    <w:rsid w:val="005A3629"/>
    <w:rsid w:val="005A3704"/>
    <w:rsid w:val="005A3D7C"/>
    <w:rsid w:val="005A41DA"/>
    <w:rsid w:val="005A4490"/>
    <w:rsid w:val="005A550B"/>
    <w:rsid w:val="005A5516"/>
    <w:rsid w:val="005A552E"/>
    <w:rsid w:val="005A55C7"/>
    <w:rsid w:val="005A55D5"/>
    <w:rsid w:val="005A5641"/>
    <w:rsid w:val="005A5656"/>
    <w:rsid w:val="005A56E6"/>
    <w:rsid w:val="005A6050"/>
    <w:rsid w:val="005A60F0"/>
    <w:rsid w:val="005A60FE"/>
    <w:rsid w:val="005A6788"/>
    <w:rsid w:val="005A6891"/>
    <w:rsid w:val="005A6A11"/>
    <w:rsid w:val="005A6A66"/>
    <w:rsid w:val="005A6C88"/>
    <w:rsid w:val="005A71BB"/>
    <w:rsid w:val="005A7405"/>
    <w:rsid w:val="005A75D1"/>
    <w:rsid w:val="005A7748"/>
    <w:rsid w:val="005A78B3"/>
    <w:rsid w:val="005A79B3"/>
    <w:rsid w:val="005B09F7"/>
    <w:rsid w:val="005B137C"/>
    <w:rsid w:val="005B15D5"/>
    <w:rsid w:val="005B22FD"/>
    <w:rsid w:val="005B281C"/>
    <w:rsid w:val="005B316A"/>
    <w:rsid w:val="005B31A4"/>
    <w:rsid w:val="005B34A6"/>
    <w:rsid w:val="005B354F"/>
    <w:rsid w:val="005B3890"/>
    <w:rsid w:val="005B3A0C"/>
    <w:rsid w:val="005B3A76"/>
    <w:rsid w:val="005B3BDF"/>
    <w:rsid w:val="005B502B"/>
    <w:rsid w:val="005B542A"/>
    <w:rsid w:val="005B544D"/>
    <w:rsid w:val="005B551C"/>
    <w:rsid w:val="005B5B96"/>
    <w:rsid w:val="005B5E9B"/>
    <w:rsid w:val="005B5F87"/>
    <w:rsid w:val="005B60A8"/>
    <w:rsid w:val="005B6AD5"/>
    <w:rsid w:val="005B6E03"/>
    <w:rsid w:val="005B76EC"/>
    <w:rsid w:val="005B7AA4"/>
    <w:rsid w:val="005C0997"/>
    <w:rsid w:val="005C179D"/>
    <w:rsid w:val="005C1840"/>
    <w:rsid w:val="005C19C7"/>
    <w:rsid w:val="005C1BDB"/>
    <w:rsid w:val="005C1C81"/>
    <w:rsid w:val="005C1F66"/>
    <w:rsid w:val="005C2396"/>
    <w:rsid w:val="005C2443"/>
    <w:rsid w:val="005C25AD"/>
    <w:rsid w:val="005C2690"/>
    <w:rsid w:val="005C2833"/>
    <w:rsid w:val="005C2B5E"/>
    <w:rsid w:val="005C2E39"/>
    <w:rsid w:val="005C3004"/>
    <w:rsid w:val="005C38A5"/>
    <w:rsid w:val="005C38EF"/>
    <w:rsid w:val="005C4145"/>
    <w:rsid w:val="005C41FA"/>
    <w:rsid w:val="005C54C8"/>
    <w:rsid w:val="005C56DD"/>
    <w:rsid w:val="005C574C"/>
    <w:rsid w:val="005C58A0"/>
    <w:rsid w:val="005C60CF"/>
    <w:rsid w:val="005C6F7D"/>
    <w:rsid w:val="005C74BF"/>
    <w:rsid w:val="005C74C6"/>
    <w:rsid w:val="005C762D"/>
    <w:rsid w:val="005D07F8"/>
    <w:rsid w:val="005D0C09"/>
    <w:rsid w:val="005D1B59"/>
    <w:rsid w:val="005D1CB1"/>
    <w:rsid w:val="005D20D0"/>
    <w:rsid w:val="005D20DC"/>
    <w:rsid w:val="005D23A8"/>
    <w:rsid w:val="005D25F7"/>
    <w:rsid w:val="005D2B8C"/>
    <w:rsid w:val="005D2F7A"/>
    <w:rsid w:val="005D33BD"/>
    <w:rsid w:val="005D372D"/>
    <w:rsid w:val="005D37AA"/>
    <w:rsid w:val="005D38C6"/>
    <w:rsid w:val="005D4AAD"/>
    <w:rsid w:val="005D4C25"/>
    <w:rsid w:val="005D5366"/>
    <w:rsid w:val="005D6C3E"/>
    <w:rsid w:val="005E104B"/>
    <w:rsid w:val="005E1383"/>
    <w:rsid w:val="005E14AF"/>
    <w:rsid w:val="005E14FF"/>
    <w:rsid w:val="005E15A1"/>
    <w:rsid w:val="005E1611"/>
    <w:rsid w:val="005E1738"/>
    <w:rsid w:val="005E1E0F"/>
    <w:rsid w:val="005E1FDF"/>
    <w:rsid w:val="005E253F"/>
    <w:rsid w:val="005E277B"/>
    <w:rsid w:val="005E3102"/>
    <w:rsid w:val="005E3141"/>
    <w:rsid w:val="005E3531"/>
    <w:rsid w:val="005E37DF"/>
    <w:rsid w:val="005E381E"/>
    <w:rsid w:val="005E387C"/>
    <w:rsid w:val="005E3A75"/>
    <w:rsid w:val="005E3C4C"/>
    <w:rsid w:val="005E3C5E"/>
    <w:rsid w:val="005E3EE0"/>
    <w:rsid w:val="005E442D"/>
    <w:rsid w:val="005E5669"/>
    <w:rsid w:val="005E6744"/>
    <w:rsid w:val="005E6747"/>
    <w:rsid w:val="005E7083"/>
    <w:rsid w:val="005F08B8"/>
    <w:rsid w:val="005F09C8"/>
    <w:rsid w:val="005F0C28"/>
    <w:rsid w:val="005F1F65"/>
    <w:rsid w:val="005F237D"/>
    <w:rsid w:val="005F29AA"/>
    <w:rsid w:val="005F29DF"/>
    <w:rsid w:val="005F2B3E"/>
    <w:rsid w:val="005F2C69"/>
    <w:rsid w:val="005F3006"/>
    <w:rsid w:val="005F3A58"/>
    <w:rsid w:val="005F3A83"/>
    <w:rsid w:val="005F3E94"/>
    <w:rsid w:val="005F4134"/>
    <w:rsid w:val="005F430F"/>
    <w:rsid w:val="005F4377"/>
    <w:rsid w:val="005F43A7"/>
    <w:rsid w:val="005F4856"/>
    <w:rsid w:val="005F4901"/>
    <w:rsid w:val="005F4D4F"/>
    <w:rsid w:val="005F4E3C"/>
    <w:rsid w:val="005F521F"/>
    <w:rsid w:val="005F559E"/>
    <w:rsid w:val="005F59FC"/>
    <w:rsid w:val="005F5F47"/>
    <w:rsid w:val="005F601D"/>
    <w:rsid w:val="005F6751"/>
    <w:rsid w:val="005F6E73"/>
    <w:rsid w:val="005F76C3"/>
    <w:rsid w:val="005F79BC"/>
    <w:rsid w:val="005F79D5"/>
    <w:rsid w:val="0060007F"/>
    <w:rsid w:val="00600308"/>
    <w:rsid w:val="006004D3"/>
    <w:rsid w:val="00600AEA"/>
    <w:rsid w:val="0060148D"/>
    <w:rsid w:val="006019BC"/>
    <w:rsid w:val="00601C23"/>
    <w:rsid w:val="00602166"/>
    <w:rsid w:val="00602439"/>
    <w:rsid w:val="006026C1"/>
    <w:rsid w:val="006026CE"/>
    <w:rsid w:val="0060332E"/>
    <w:rsid w:val="006037AB"/>
    <w:rsid w:val="00603F97"/>
    <w:rsid w:val="006040CC"/>
    <w:rsid w:val="00604E27"/>
    <w:rsid w:val="0060508B"/>
    <w:rsid w:val="006054CD"/>
    <w:rsid w:val="0060552B"/>
    <w:rsid w:val="006057EA"/>
    <w:rsid w:val="00605DBE"/>
    <w:rsid w:val="00606074"/>
    <w:rsid w:val="006065FC"/>
    <w:rsid w:val="006068B4"/>
    <w:rsid w:val="00606F72"/>
    <w:rsid w:val="006076B7"/>
    <w:rsid w:val="006078D2"/>
    <w:rsid w:val="00607C93"/>
    <w:rsid w:val="00607D79"/>
    <w:rsid w:val="00607F92"/>
    <w:rsid w:val="006106A6"/>
    <w:rsid w:val="00610AB6"/>
    <w:rsid w:val="00610E15"/>
    <w:rsid w:val="00611134"/>
    <w:rsid w:val="006112BE"/>
    <w:rsid w:val="00611899"/>
    <w:rsid w:val="00612812"/>
    <w:rsid w:val="00612D99"/>
    <w:rsid w:val="006130B5"/>
    <w:rsid w:val="006136B7"/>
    <w:rsid w:val="00613CAB"/>
    <w:rsid w:val="00613DEA"/>
    <w:rsid w:val="006148AE"/>
    <w:rsid w:val="00614D76"/>
    <w:rsid w:val="00615130"/>
    <w:rsid w:val="0061548E"/>
    <w:rsid w:val="0061549D"/>
    <w:rsid w:val="0061550A"/>
    <w:rsid w:val="00615842"/>
    <w:rsid w:val="00615FD8"/>
    <w:rsid w:val="006165E4"/>
    <w:rsid w:val="00616B2C"/>
    <w:rsid w:val="00616EEF"/>
    <w:rsid w:val="006171B2"/>
    <w:rsid w:val="0061746B"/>
    <w:rsid w:val="00617E08"/>
    <w:rsid w:val="006201A7"/>
    <w:rsid w:val="006208AD"/>
    <w:rsid w:val="00620D56"/>
    <w:rsid w:val="00620F63"/>
    <w:rsid w:val="006214EE"/>
    <w:rsid w:val="006215DA"/>
    <w:rsid w:val="006220DB"/>
    <w:rsid w:val="0062229A"/>
    <w:rsid w:val="006222A3"/>
    <w:rsid w:val="006227BC"/>
    <w:rsid w:val="00622A4F"/>
    <w:rsid w:val="00622E0C"/>
    <w:rsid w:val="0062300E"/>
    <w:rsid w:val="0062370C"/>
    <w:rsid w:val="0062390F"/>
    <w:rsid w:val="0062436C"/>
    <w:rsid w:val="006248C9"/>
    <w:rsid w:val="00624B76"/>
    <w:rsid w:val="00624E03"/>
    <w:rsid w:val="006253C2"/>
    <w:rsid w:val="006254DA"/>
    <w:rsid w:val="0062551A"/>
    <w:rsid w:val="0062596C"/>
    <w:rsid w:val="00625990"/>
    <w:rsid w:val="006259CD"/>
    <w:rsid w:val="00625A6A"/>
    <w:rsid w:val="00626A51"/>
    <w:rsid w:val="00626D37"/>
    <w:rsid w:val="00627928"/>
    <w:rsid w:val="00627C29"/>
    <w:rsid w:val="00627C87"/>
    <w:rsid w:val="00630CD4"/>
    <w:rsid w:val="00630F37"/>
    <w:rsid w:val="006311BC"/>
    <w:rsid w:val="006313FE"/>
    <w:rsid w:val="00631BE6"/>
    <w:rsid w:val="006335B9"/>
    <w:rsid w:val="0063364A"/>
    <w:rsid w:val="006336BB"/>
    <w:rsid w:val="0063388F"/>
    <w:rsid w:val="00633B45"/>
    <w:rsid w:val="00633D6C"/>
    <w:rsid w:val="00633D98"/>
    <w:rsid w:val="00634233"/>
    <w:rsid w:val="00634238"/>
    <w:rsid w:val="006345D9"/>
    <w:rsid w:val="0063470E"/>
    <w:rsid w:val="00635028"/>
    <w:rsid w:val="00635141"/>
    <w:rsid w:val="006351B8"/>
    <w:rsid w:val="00635286"/>
    <w:rsid w:val="0063588D"/>
    <w:rsid w:val="00635D25"/>
    <w:rsid w:val="006361B6"/>
    <w:rsid w:val="00636B40"/>
    <w:rsid w:val="0063709A"/>
    <w:rsid w:val="00637307"/>
    <w:rsid w:val="00637921"/>
    <w:rsid w:val="00637A8D"/>
    <w:rsid w:val="00637B31"/>
    <w:rsid w:val="006400AE"/>
    <w:rsid w:val="00640330"/>
    <w:rsid w:val="006403D7"/>
    <w:rsid w:val="00640932"/>
    <w:rsid w:val="00641582"/>
    <w:rsid w:val="00642612"/>
    <w:rsid w:val="00642C86"/>
    <w:rsid w:val="00643525"/>
    <w:rsid w:val="006435D9"/>
    <w:rsid w:val="00644500"/>
    <w:rsid w:val="0064475E"/>
    <w:rsid w:val="00644FEB"/>
    <w:rsid w:val="006451D4"/>
    <w:rsid w:val="00645A1B"/>
    <w:rsid w:val="00645CDE"/>
    <w:rsid w:val="00645DEC"/>
    <w:rsid w:val="00645F9C"/>
    <w:rsid w:val="00646245"/>
    <w:rsid w:val="006463AF"/>
    <w:rsid w:val="006463D8"/>
    <w:rsid w:val="00646588"/>
    <w:rsid w:val="006465E6"/>
    <w:rsid w:val="006471E9"/>
    <w:rsid w:val="0064728F"/>
    <w:rsid w:val="00647FAD"/>
    <w:rsid w:val="00650F06"/>
    <w:rsid w:val="00650F5D"/>
    <w:rsid w:val="0065102D"/>
    <w:rsid w:val="006512B9"/>
    <w:rsid w:val="00651667"/>
    <w:rsid w:val="00651DA7"/>
    <w:rsid w:val="0065206B"/>
    <w:rsid w:val="006520D9"/>
    <w:rsid w:val="0065266E"/>
    <w:rsid w:val="00652915"/>
    <w:rsid w:val="00652986"/>
    <w:rsid w:val="00652EEB"/>
    <w:rsid w:val="00653452"/>
    <w:rsid w:val="0065397A"/>
    <w:rsid w:val="00653DF1"/>
    <w:rsid w:val="00654542"/>
    <w:rsid w:val="006545DD"/>
    <w:rsid w:val="00654710"/>
    <w:rsid w:val="00654D62"/>
    <w:rsid w:val="00654EDF"/>
    <w:rsid w:val="006553D7"/>
    <w:rsid w:val="006556A8"/>
    <w:rsid w:val="006561BE"/>
    <w:rsid w:val="006564F5"/>
    <w:rsid w:val="0065661C"/>
    <w:rsid w:val="0065697E"/>
    <w:rsid w:val="006569EC"/>
    <w:rsid w:val="00656E5B"/>
    <w:rsid w:val="00656FA4"/>
    <w:rsid w:val="00657211"/>
    <w:rsid w:val="006575FB"/>
    <w:rsid w:val="00657A33"/>
    <w:rsid w:val="00657D0B"/>
    <w:rsid w:val="00657D34"/>
    <w:rsid w:val="00657D73"/>
    <w:rsid w:val="006610E8"/>
    <w:rsid w:val="00661265"/>
    <w:rsid w:val="00661588"/>
    <w:rsid w:val="006615F5"/>
    <w:rsid w:val="00661A11"/>
    <w:rsid w:val="00661FC6"/>
    <w:rsid w:val="0066220A"/>
    <w:rsid w:val="006630BC"/>
    <w:rsid w:val="006632A1"/>
    <w:rsid w:val="006634C0"/>
    <w:rsid w:val="006634FB"/>
    <w:rsid w:val="00663915"/>
    <w:rsid w:val="00664378"/>
    <w:rsid w:val="00664425"/>
    <w:rsid w:val="006648C4"/>
    <w:rsid w:val="00664BD9"/>
    <w:rsid w:val="00664D81"/>
    <w:rsid w:val="00664E1D"/>
    <w:rsid w:val="006657C8"/>
    <w:rsid w:val="0066594C"/>
    <w:rsid w:val="00665E76"/>
    <w:rsid w:val="00665EB7"/>
    <w:rsid w:val="006663EC"/>
    <w:rsid w:val="00666DDF"/>
    <w:rsid w:val="00667158"/>
    <w:rsid w:val="00667283"/>
    <w:rsid w:val="00667C60"/>
    <w:rsid w:val="006704A6"/>
    <w:rsid w:val="00670583"/>
    <w:rsid w:val="00670FDE"/>
    <w:rsid w:val="00671B53"/>
    <w:rsid w:val="00671C2F"/>
    <w:rsid w:val="00671F80"/>
    <w:rsid w:val="006723FC"/>
    <w:rsid w:val="00672501"/>
    <w:rsid w:val="00672614"/>
    <w:rsid w:val="00672800"/>
    <w:rsid w:val="006729F8"/>
    <w:rsid w:val="00673575"/>
    <w:rsid w:val="00673577"/>
    <w:rsid w:val="006745F1"/>
    <w:rsid w:val="00674C1B"/>
    <w:rsid w:val="00674FBD"/>
    <w:rsid w:val="0067536F"/>
    <w:rsid w:val="00675421"/>
    <w:rsid w:val="0067560E"/>
    <w:rsid w:val="006756EB"/>
    <w:rsid w:val="006757DF"/>
    <w:rsid w:val="0067589E"/>
    <w:rsid w:val="00675B0E"/>
    <w:rsid w:val="00676471"/>
    <w:rsid w:val="006767FC"/>
    <w:rsid w:val="006768DB"/>
    <w:rsid w:val="00676E85"/>
    <w:rsid w:val="00676EA2"/>
    <w:rsid w:val="00676FB5"/>
    <w:rsid w:val="0067755D"/>
    <w:rsid w:val="00680143"/>
    <w:rsid w:val="006807FE"/>
    <w:rsid w:val="00680950"/>
    <w:rsid w:val="00680962"/>
    <w:rsid w:val="00680E5B"/>
    <w:rsid w:val="00681C41"/>
    <w:rsid w:val="00681DFA"/>
    <w:rsid w:val="00681F18"/>
    <w:rsid w:val="00682039"/>
    <w:rsid w:val="00682309"/>
    <w:rsid w:val="00682840"/>
    <w:rsid w:val="00682963"/>
    <w:rsid w:val="00682D99"/>
    <w:rsid w:val="00682DD2"/>
    <w:rsid w:val="006831F0"/>
    <w:rsid w:val="006832B0"/>
    <w:rsid w:val="006832FA"/>
    <w:rsid w:val="00683735"/>
    <w:rsid w:val="00683E15"/>
    <w:rsid w:val="0068409C"/>
    <w:rsid w:val="00685D1C"/>
    <w:rsid w:val="00685E85"/>
    <w:rsid w:val="006861A9"/>
    <w:rsid w:val="006864EA"/>
    <w:rsid w:val="00686622"/>
    <w:rsid w:val="00686B05"/>
    <w:rsid w:val="00687193"/>
    <w:rsid w:val="006872BE"/>
    <w:rsid w:val="0068732C"/>
    <w:rsid w:val="006877C0"/>
    <w:rsid w:val="00687829"/>
    <w:rsid w:val="006879EA"/>
    <w:rsid w:val="00687A98"/>
    <w:rsid w:val="00690598"/>
    <w:rsid w:val="0069095A"/>
    <w:rsid w:val="0069131C"/>
    <w:rsid w:val="006916AC"/>
    <w:rsid w:val="0069176A"/>
    <w:rsid w:val="006918D8"/>
    <w:rsid w:val="00691AAB"/>
    <w:rsid w:val="006920C5"/>
    <w:rsid w:val="006922CE"/>
    <w:rsid w:val="006926CC"/>
    <w:rsid w:val="0069364F"/>
    <w:rsid w:val="00693D0B"/>
    <w:rsid w:val="006944A7"/>
    <w:rsid w:val="006946FA"/>
    <w:rsid w:val="0069478E"/>
    <w:rsid w:val="00694F92"/>
    <w:rsid w:val="006955C8"/>
    <w:rsid w:val="00695A26"/>
    <w:rsid w:val="006960D1"/>
    <w:rsid w:val="00696EEB"/>
    <w:rsid w:val="006970A6"/>
    <w:rsid w:val="00697675"/>
    <w:rsid w:val="00697868"/>
    <w:rsid w:val="006A0110"/>
    <w:rsid w:val="006A0399"/>
    <w:rsid w:val="006A082F"/>
    <w:rsid w:val="006A0CCF"/>
    <w:rsid w:val="006A0F83"/>
    <w:rsid w:val="006A1074"/>
    <w:rsid w:val="006A1651"/>
    <w:rsid w:val="006A16B5"/>
    <w:rsid w:val="006A174C"/>
    <w:rsid w:val="006A18CF"/>
    <w:rsid w:val="006A1B84"/>
    <w:rsid w:val="006A1EBA"/>
    <w:rsid w:val="006A2471"/>
    <w:rsid w:val="006A2A65"/>
    <w:rsid w:val="006A2B39"/>
    <w:rsid w:val="006A2CFE"/>
    <w:rsid w:val="006A2DDF"/>
    <w:rsid w:val="006A3397"/>
    <w:rsid w:val="006A33D2"/>
    <w:rsid w:val="006A3FED"/>
    <w:rsid w:val="006A49AE"/>
    <w:rsid w:val="006A4AF9"/>
    <w:rsid w:val="006A4AFE"/>
    <w:rsid w:val="006A4C2E"/>
    <w:rsid w:val="006A4F69"/>
    <w:rsid w:val="006A532B"/>
    <w:rsid w:val="006A5B67"/>
    <w:rsid w:val="006A5CC4"/>
    <w:rsid w:val="006A61C9"/>
    <w:rsid w:val="006A670E"/>
    <w:rsid w:val="006A6AD7"/>
    <w:rsid w:val="006A761D"/>
    <w:rsid w:val="006A7868"/>
    <w:rsid w:val="006B0443"/>
    <w:rsid w:val="006B05D3"/>
    <w:rsid w:val="006B0747"/>
    <w:rsid w:val="006B07FB"/>
    <w:rsid w:val="006B0974"/>
    <w:rsid w:val="006B0CFD"/>
    <w:rsid w:val="006B0D57"/>
    <w:rsid w:val="006B0E7D"/>
    <w:rsid w:val="006B1444"/>
    <w:rsid w:val="006B1584"/>
    <w:rsid w:val="006B15A3"/>
    <w:rsid w:val="006B1A72"/>
    <w:rsid w:val="006B2142"/>
    <w:rsid w:val="006B2224"/>
    <w:rsid w:val="006B2313"/>
    <w:rsid w:val="006B2556"/>
    <w:rsid w:val="006B2F86"/>
    <w:rsid w:val="006B3321"/>
    <w:rsid w:val="006B3535"/>
    <w:rsid w:val="006B47C1"/>
    <w:rsid w:val="006B4D22"/>
    <w:rsid w:val="006B4DC8"/>
    <w:rsid w:val="006B4E73"/>
    <w:rsid w:val="006B5166"/>
    <w:rsid w:val="006B580C"/>
    <w:rsid w:val="006B591A"/>
    <w:rsid w:val="006B5C60"/>
    <w:rsid w:val="006B60A9"/>
    <w:rsid w:val="006B6520"/>
    <w:rsid w:val="006B6998"/>
    <w:rsid w:val="006B6B43"/>
    <w:rsid w:val="006B6ED6"/>
    <w:rsid w:val="006B7042"/>
    <w:rsid w:val="006B732C"/>
    <w:rsid w:val="006B73A6"/>
    <w:rsid w:val="006B7501"/>
    <w:rsid w:val="006C076C"/>
    <w:rsid w:val="006C0AE6"/>
    <w:rsid w:val="006C0CE8"/>
    <w:rsid w:val="006C1768"/>
    <w:rsid w:val="006C1D36"/>
    <w:rsid w:val="006C22CF"/>
    <w:rsid w:val="006C23CC"/>
    <w:rsid w:val="006C290F"/>
    <w:rsid w:val="006C2A5F"/>
    <w:rsid w:val="006C2DDD"/>
    <w:rsid w:val="006C341A"/>
    <w:rsid w:val="006C34A3"/>
    <w:rsid w:val="006C36A8"/>
    <w:rsid w:val="006C3778"/>
    <w:rsid w:val="006C38DD"/>
    <w:rsid w:val="006C3C29"/>
    <w:rsid w:val="006C3D2E"/>
    <w:rsid w:val="006C3F96"/>
    <w:rsid w:val="006C48C5"/>
    <w:rsid w:val="006C4B26"/>
    <w:rsid w:val="006C4BD4"/>
    <w:rsid w:val="006C5039"/>
    <w:rsid w:val="006C509C"/>
    <w:rsid w:val="006C53F9"/>
    <w:rsid w:val="006C6430"/>
    <w:rsid w:val="006C65AB"/>
    <w:rsid w:val="006C6858"/>
    <w:rsid w:val="006C705F"/>
    <w:rsid w:val="006C756F"/>
    <w:rsid w:val="006C7578"/>
    <w:rsid w:val="006C77F0"/>
    <w:rsid w:val="006C7C6C"/>
    <w:rsid w:val="006C7EDA"/>
    <w:rsid w:val="006D016E"/>
    <w:rsid w:val="006D05F3"/>
    <w:rsid w:val="006D0708"/>
    <w:rsid w:val="006D0BAA"/>
    <w:rsid w:val="006D0D74"/>
    <w:rsid w:val="006D0DA6"/>
    <w:rsid w:val="006D0ECD"/>
    <w:rsid w:val="006D1169"/>
    <w:rsid w:val="006D1353"/>
    <w:rsid w:val="006D1AB2"/>
    <w:rsid w:val="006D2019"/>
    <w:rsid w:val="006D22B3"/>
    <w:rsid w:val="006D28D1"/>
    <w:rsid w:val="006D2C7B"/>
    <w:rsid w:val="006D3C03"/>
    <w:rsid w:val="006D3C22"/>
    <w:rsid w:val="006D41F9"/>
    <w:rsid w:val="006D4AD7"/>
    <w:rsid w:val="006D4D5C"/>
    <w:rsid w:val="006D4D88"/>
    <w:rsid w:val="006D565E"/>
    <w:rsid w:val="006D5A4C"/>
    <w:rsid w:val="006D5C32"/>
    <w:rsid w:val="006D6491"/>
    <w:rsid w:val="006D6612"/>
    <w:rsid w:val="006D6785"/>
    <w:rsid w:val="006D68D0"/>
    <w:rsid w:val="006D69B9"/>
    <w:rsid w:val="006D6E88"/>
    <w:rsid w:val="006D79AF"/>
    <w:rsid w:val="006D7E2A"/>
    <w:rsid w:val="006E02CA"/>
    <w:rsid w:val="006E0305"/>
    <w:rsid w:val="006E04C8"/>
    <w:rsid w:val="006E0597"/>
    <w:rsid w:val="006E05A5"/>
    <w:rsid w:val="006E0969"/>
    <w:rsid w:val="006E11DC"/>
    <w:rsid w:val="006E152F"/>
    <w:rsid w:val="006E1AB7"/>
    <w:rsid w:val="006E1BD0"/>
    <w:rsid w:val="006E1D70"/>
    <w:rsid w:val="006E203B"/>
    <w:rsid w:val="006E23D0"/>
    <w:rsid w:val="006E240C"/>
    <w:rsid w:val="006E289E"/>
    <w:rsid w:val="006E3348"/>
    <w:rsid w:val="006E363E"/>
    <w:rsid w:val="006E38F1"/>
    <w:rsid w:val="006E3D29"/>
    <w:rsid w:val="006E3EC6"/>
    <w:rsid w:val="006E42C3"/>
    <w:rsid w:val="006E4B24"/>
    <w:rsid w:val="006E4D37"/>
    <w:rsid w:val="006E517C"/>
    <w:rsid w:val="006E53BD"/>
    <w:rsid w:val="006E551E"/>
    <w:rsid w:val="006E5546"/>
    <w:rsid w:val="006E5563"/>
    <w:rsid w:val="006E56C2"/>
    <w:rsid w:val="006E57F1"/>
    <w:rsid w:val="006E58FC"/>
    <w:rsid w:val="006E5F44"/>
    <w:rsid w:val="006E5F73"/>
    <w:rsid w:val="006E6050"/>
    <w:rsid w:val="006E60BD"/>
    <w:rsid w:val="006E63CA"/>
    <w:rsid w:val="006E6629"/>
    <w:rsid w:val="006E6874"/>
    <w:rsid w:val="006E7182"/>
    <w:rsid w:val="006E7869"/>
    <w:rsid w:val="006F006F"/>
    <w:rsid w:val="006F00B5"/>
    <w:rsid w:val="006F0900"/>
    <w:rsid w:val="006F0B6C"/>
    <w:rsid w:val="006F0D98"/>
    <w:rsid w:val="006F1D64"/>
    <w:rsid w:val="006F21AE"/>
    <w:rsid w:val="006F25EF"/>
    <w:rsid w:val="006F2927"/>
    <w:rsid w:val="006F2DB3"/>
    <w:rsid w:val="006F3700"/>
    <w:rsid w:val="006F40DD"/>
    <w:rsid w:val="006F4938"/>
    <w:rsid w:val="006F4A09"/>
    <w:rsid w:val="006F4E0B"/>
    <w:rsid w:val="006F5E6B"/>
    <w:rsid w:val="006F5E7D"/>
    <w:rsid w:val="006F6157"/>
    <w:rsid w:val="006F6634"/>
    <w:rsid w:val="006F6BFE"/>
    <w:rsid w:val="006F6F4E"/>
    <w:rsid w:val="006F7884"/>
    <w:rsid w:val="006F7B07"/>
    <w:rsid w:val="006F7E48"/>
    <w:rsid w:val="00700019"/>
    <w:rsid w:val="0070036E"/>
    <w:rsid w:val="007011FD"/>
    <w:rsid w:val="0070178E"/>
    <w:rsid w:val="00701B21"/>
    <w:rsid w:val="00702046"/>
    <w:rsid w:val="00702541"/>
    <w:rsid w:val="00702660"/>
    <w:rsid w:val="007027EB"/>
    <w:rsid w:val="00702B13"/>
    <w:rsid w:val="00702F86"/>
    <w:rsid w:val="00702FBE"/>
    <w:rsid w:val="00703411"/>
    <w:rsid w:val="00703738"/>
    <w:rsid w:val="00704197"/>
    <w:rsid w:val="00704463"/>
    <w:rsid w:val="0070498C"/>
    <w:rsid w:val="00704C4F"/>
    <w:rsid w:val="00704F81"/>
    <w:rsid w:val="007057DF"/>
    <w:rsid w:val="007057FD"/>
    <w:rsid w:val="00705B27"/>
    <w:rsid w:val="00705E30"/>
    <w:rsid w:val="00705E35"/>
    <w:rsid w:val="00705E81"/>
    <w:rsid w:val="00706066"/>
    <w:rsid w:val="00706237"/>
    <w:rsid w:val="00706A01"/>
    <w:rsid w:val="0070773F"/>
    <w:rsid w:val="00707F3F"/>
    <w:rsid w:val="00707F5F"/>
    <w:rsid w:val="00707FA4"/>
    <w:rsid w:val="007103C3"/>
    <w:rsid w:val="007104EE"/>
    <w:rsid w:val="007106BF"/>
    <w:rsid w:val="00710819"/>
    <w:rsid w:val="00710E60"/>
    <w:rsid w:val="0071115D"/>
    <w:rsid w:val="007117ED"/>
    <w:rsid w:val="007119E9"/>
    <w:rsid w:val="00711AFA"/>
    <w:rsid w:val="007126B5"/>
    <w:rsid w:val="00712824"/>
    <w:rsid w:val="00712BF4"/>
    <w:rsid w:val="00712FB0"/>
    <w:rsid w:val="00713101"/>
    <w:rsid w:val="007137B7"/>
    <w:rsid w:val="00713B6C"/>
    <w:rsid w:val="00713FE6"/>
    <w:rsid w:val="007140D5"/>
    <w:rsid w:val="007141D5"/>
    <w:rsid w:val="007141FA"/>
    <w:rsid w:val="00715830"/>
    <w:rsid w:val="00715AC8"/>
    <w:rsid w:val="00715F19"/>
    <w:rsid w:val="00716053"/>
    <w:rsid w:val="007162F5"/>
    <w:rsid w:val="00716781"/>
    <w:rsid w:val="007167B9"/>
    <w:rsid w:val="007167F3"/>
    <w:rsid w:val="00716B93"/>
    <w:rsid w:val="00716E80"/>
    <w:rsid w:val="00716F5C"/>
    <w:rsid w:val="007170D7"/>
    <w:rsid w:val="00717AA7"/>
    <w:rsid w:val="00717AB0"/>
    <w:rsid w:val="00717DF5"/>
    <w:rsid w:val="00717F1A"/>
    <w:rsid w:val="00722808"/>
    <w:rsid w:val="00722994"/>
    <w:rsid w:val="00722AF6"/>
    <w:rsid w:val="00723A12"/>
    <w:rsid w:val="00723B67"/>
    <w:rsid w:val="00723FBF"/>
    <w:rsid w:val="00724150"/>
    <w:rsid w:val="00724789"/>
    <w:rsid w:val="00724C26"/>
    <w:rsid w:val="00724CC7"/>
    <w:rsid w:val="00724D39"/>
    <w:rsid w:val="00724D75"/>
    <w:rsid w:val="0072554E"/>
    <w:rsid w:val="007255F2"/>
    <w:rsid w:val="00725959"/>
    <w:rsid w:val="00725A33"/>
    <w:rsid w:val="00725E38"/>
    <w:rsid w:val="00726391"/>
    <w:rsid w:val="007265F5"/>
    <w:rsid w:val="00726932"/>
    <w:rsid w:val="007273B0"/>
    <w:rsid w:val="007276E2"/>
    <w:rsid w:val="0072789C"/>
    <w:rsid w:val="00727B83"/>
    <w:rsid w:val="00730252"/>
    <w:rsid w:val="007307B5"/>
    <w:rsid w:val="00730CE6"/>
    <w:rsid w:val="00731639"/>
    <w:rsid w:val="00731ABB"/>
    <w:rsid w:val="007326DD"/>
    <w:rsid w:val="00733364"/>
    <w:rsid w:val="00733CA3"/>
    <w:rsid w:val="00734150"/>
    <w:rsid w:val="0073513B"/>
    <w:rsid w:val="00735A20"/>
    <w:rsid w:val="00735EF5"/>
    <w:rsid w:val="00736005"/>
    <w:rsid w:val="007362B8"/>
    <w:rsid w:val="007370E0"/>
    <w:rsid w:val="00737221"/>
    <w:rsid w:val="007374E7"/>
    <w:rsid w:val="00737761"/>
    <w:rsid w:val="0073790B"/>
    <w:rsid w:val="00737D08"/>
    <w:rsid w:val="007402E4"/>
    <w:rsid w:val="007407AB"/>
    <w:rsid w:val="00741061"/>
    <w:rsid w:val="0074112C"/>
    <w:rsid w:val="0074165E"/>
    <w:rsid w:val="00741B3C"/>
    <w:rsid w:val="00741E8D"/>
    <w:rsid w:val="00742244"/>
    <w:rsid w:val="00742828"/>
    <w:rsid w:val="00742B0F"/>
    <w:rsid w:val="00743B46"/>
    <w:rsid w:val="00743D27"/>
    <w:rsid w:val="00744172"/>
    <w:rsid w:val="007447D0"/>
    <w:rsid w:val="00744923"/>
    <w:rsid w:val="00744ABC"/>
    <w:rsid w:val="00745145"/>
    <w:rsid w:val="0074544F"/>
    <w:rsid w:val="00745496"/>
    <w:rsid w:val="00745796"/>
    <w:rsid w:val="00746118"/>
    <w:rsid w:val="007461FB"/>
    <w:rsid w:val="007468B8"/>
    <w:rsid w:val="007474FC"/>
    <w:rsid w:val="00747B1E"/>
    <w:rsid w:val="00747C7E"/>
    <w:rsid w:val="00747E55"/>
    <w:rsid w:val="00747FAA"/>
    <w:rsid w:val="0075084A"/>
    <w:rsid w:val="00751080"/>
    <w:rsid w:val="00751599"/>
    <w:rsid w:val="00751617"/>
    <w:rsid w:val="00751DF8"/>
    <w:rsid w:val="00751E99"/>
    <w:rsid w:val="007523A3"/>
    <w:rsid w:val="007524AF"/>
    <w:rsid w:val="007528A0"/>
    <w:rsid w:val="00752E1F"/>
    <w:rsid w:val="00752F11"/>
    <w:rsid w:val="007534EA"/>
    <w:rsid w:val="00753BAE"/>
    <w:rsid w:val="00753BB5"/>
    <w:rsid w:val="00753D3F"/>
    <w:rsid w:val="007540B0"/>
    <w:rsid w:val="00754363"/>
    <w:rsid w:val="00754B9F"/>
    <w:rsid w:val="00754DE1"/>
    <w:rsid w:val="007551E5"/>
    <w:rsid w:val="0075538C"/>
    <w:rsid w:val="0075541E"/>
    <w:rsid w:val="00755854"/>
    <w:rsid w:val="00755CD4"/>
    <w:rsid w:val="00755EB7"/>
    <w:rsid w:val="007567E5"/>
    <w:rsid w:val="007567EC"/>
    <w:rsid w:val="0075691A"/>
    <w:rsid w:val="00756B96"/>
    <w:rsid w:val="0075770A"/>
    <w:rsid w:val="00757827"/>
    <w:rsid w:val="00757ADC"/>
    <w:rsid w:val="00757CBA"/>
    <w:rsid w:val="00757EE0"/>
    <w:rsid w:val="00760511"/>
    <w:rsid w:val="00760AF2"/>
    <w:rsid w:val="0076172C"/>
    <w:rsid w:val="00761CE6"/>
    <w:rsid w:val="00761D59"/>
    <w:rsid w:val="00761F9A"/>
    <w:rsid w:val="0076231E"/>
    <w:rsid w:val="00762AA1"/>
    <w:rsid w:val="007638D0"/>
    <w:rsid w:val="00763C0A"/>
    <w:rsid w:val="007645FB"/>
    <w:rsid w:val="0076481F"/>
    <w:rsid w:val="00764922"/>
    <w:rsid w:val="00764B60"/>
    <w:rsid w:val="00764F61"/>
    <w:rsid w:val="007650F6"/>
    <w:rsid w:val="007652F0"/>
    <w:rsid w:val="00765405"/>
    <w:rsid w:val="00765431"/>
    <w:rsid w:val="00765D65"/>
    <w:rsid w:val="00765E87"/>
    <w:rsid w:val="0076629F"/>
    <w:rsid w:val="0076693C"/>
    <w:rsid w:val="00766A44"/>
    <w:rsid w:val="00766F2C"/>
    <w:rsid w:val="00767308"/>
    <w:rsid w:val="007675A7"/>
    <w:rsid w:val="0076780E"/>
    <w:rsid w:val="00767B37"/>
    <w:rsid w:val="00767C6E"/>
    <w:rsid w:val="00767D0C"/>
    <w:rsid w:val="007702DE"/>
    <w:rsid w:val="0077033B"/>
    <w:rsid w:val="00771017"/>
    <w:rsid w:val="00771468"/>
    <w:rsid w:val="00771AAE"/>
    <w:rsid w:val="00771FEF"/>
    <w:rsid w:val="0077205F"/>
    <w:rsid w:val="00772111"/>
    <w:rsid w:val="0077221C"/>
    <w:rsid w:val="0077232B"/>
    <w:rsid w:val="00772394"/>
    <w:rsid w:val="007725B7"/>
    <w:rsid w:val="00772A02"/>
    <w:rsid w:val="00772B6E"/>
    <w:rsid w:val="00772FF2"/>
    <w:rsid w:val="0077321B"/>
    <w:rsid w:val="00773279"/>
    <w:rsid w:val="0077334C"/>
    <w:rsid w:val="00773B25"/>
    <w:rsid w:val="007746AC"/>
    <w:rsid w:val="007748E2"/>
    <w:rsid w:val="00774BD6"/>
    <w:rsid w:val="00774DE9"/>
    <w:rsid w:val="00774EF5"/>
    <w:rsid w:val="0077544C"/>
    <w:rsid w:val="007754D6"/>
    <w:rsid w:val="007757A2"/>
    <w:rsid w:val="00775DFA"/>
    <w:rsid w:val="007761B2"/>
    <w:rsid w:val="0077697B"/>
    <w:rsid w:val="00777274"/>
    <w:rsid w:val="00777911"/>
    <w:rsid w:val="00777D08"/>
    <w:rsid w:val="00777EA9"/>
    <w:rsid w:val="00777F0C"/>
    <w:rsid w:val="007803FD"/>
    <w:rsid w:val="00780633"/>
    <w:rsid w:val="00780684"/>
    <w:rsid w:val="00780764"/>
    <w:rsid w:val="007808B4"/>
    <w:rsid w:val="00780F61"/>
    <w:rsid w:val="00780F69"/>
    <w:rsid w:val="007812BE"/>
    <w:rsid w:val="007812C0"/>
    <w:rsid w:val="00781461"/>
    <w:rsid w:val="00781501"/>
    <w:rsid w:val="00781A29"/>
    <w:rsid w:val="00781B53"/>
    <w:rsid w:val="007820C5"/>
    <w:rsid w:val="007825F6"/>
    <w:rsid w:val="0078261F"/>
    <w:rsid w:val="0078275C"/>
    <w:rsid w:val="00782D57"/>
    <w:rsid w:val="00783384"/>
    <w:rsid w:val="007833E6"/>
    <w:rsid w:val="00783474"/>
    <w:rsid w:val="0078461B"/>
    <w:rsid w:val="00784A1F"/>
    <w:rsid w:val="00785417"/>
    <w:rsid w:val="007855ED"/>
    <w:rsid w:val="00785665"/>
    <w:rsid w:val="007857AC"/>
    <w:rsid w:val="00785CEF"/>
    <w:rsid w:val="007860CA"/>
    <w:rsid w:val="00786499"/>
    <w:rsid w:val="007866A7"/>
    <w:rsid w:val="007868B7"/>
    <w:rsid w:val="00786AC6"/>
    <w:rsid w:val="00786C06"/>
    <w:rsid w:val="00786CC2"/>
    <w:rsid w:val="00786E4B"/>
    <w:rsid w:val="00787112"/>
    <w:rsid w:val="00787904"/>
    <w:rsid w:val="00787D7A"/>
    <w:rsid w:val="00787FBA"/>
    <w:rsid w:val="00790072"/>
    <w:rsid w:val="007901A3"/>
    <w:rsid w:val="007902F1"/>
    <w:rsid w:val="0079088A"/>
    <w:rsid w:val="00790BCE"/>
    <w:rsid w:val="00790CBF"/>
    <w:rsid w:val="00790D0B"/>
    <w:rsid w:val="0079146A"/>
    <w:rsid w:val="0079175F"/>
    <w:rsid w:val="007918E7"/>
    <w:rsid w:val="00791A14"/>
    <w:rsid w:val="0079266F"/>
    <w:rsid w:val="007927E8"/>
    <w:rsid w:val="007927F5"/>
    <w:rsid w:val="00792B37"/>
    <w:rsid w:val="00792F90"/>
    <w:rsid w:val="007930C4"/>
    <w:rsid w:val="007930CA"/>
    <w:rsid w:val="0079327F"/>
    <w:rsid w:val="00793416"/>
    <w:rsid w:val="0079375D"/>
    <w:rsid w:val="007939C1"/>
    <w:rsid w:val="00794783"/>
    <w:rsid w:val="00795601"/>
    <w:rsid w:val="00795A88"/>
    <w:rsid w:val="00795B1F"/>
    <w:rsid w:val="00795DBB"/>
    <w:rsid w:val="00796496"/>
    <w:rsid w:val="0079764C"/>
    <w:rsid w:val="007977C0"/>
    <w:rsid w:val="00797ED2"/>
    <w:rsid w:val="007A0032"/>
    <w:rsid w:val="007A018B"/>
    <w:rsid w:val="007A0751"/>
    <w:rsid w:val="007A11EE"/>
    <w:rsid w:val="007A12D2"/>
    <w:rsid w:val="007A18FE"/>
    <w:rsid w:val="007A193D"/>
    <w:rsid w:val="007A1BD4"/>
    <w:rsid w:val="007A1E88"/>
    <w:rsid w:val="007A27E2"/>
    <w:rsid w:val="007A2E3A"/>
    <w:rsid w:val="007A2E65"/>
    <w:rsid w:val="007A3D0B"/>
    <w:rsid w:val="007A3FBA"/>
    <w:rsid w:val="007A41D2"/>
    <w:rsid w:val="007A4220"/>
    <w:rsid w:val="007A4CC2"/>
    <w:rsid w:val="007A4E33"/>
    <w:rsid w:val="007A51E0"/>
    <w:rsid w:val="007A56F7"/>
    <w:rsid w:val="007A60FB"/>
    <w:rsid w:val="007A620C"/>
    <w:rsid w:val="007A6265"/>
    <w:rsid w:val="007A66C5"/>
    <w:rsid w:val="007A710C"/>
    <w:rsid w:val="007A717F"/>
    <w:rsid w:val="007A71A1"/>
    <w:rsid w:val="007A71B9"/>
    <w:rsid w:val="007A7342"/>
    <w:rsid w:val="007A7555"/>
    <w:rsid w:val="007A7AB9"/>
    <w:rsid w:val="007A7CC7"/>
    <w:rsid w:val="007A7FD3"/>
    <w:rsid w:val="007B1A3E"/>
    <w:rsid w:val="007B2907"/>
    <w:rsid w:val="007B2E00"/>
    <w:rsid w:val="007B38CE"/>
    <w:rsid w:val="007B3E63"/>
    <w:rsid w:val="007B3F29"/>
    <w:rsid w:val="007B3FBD"/>
    <w:rsid w:val="007B400B"/>
    <w:rsid w:val="007B4153"/>
    <w:rsid w:val="007B4318"/>
    <w:rsid w:val="007B4899"/>
    <w:rsid w:val="007B4ACE"/>
    <w:rsid w:val="007B4CD7"/>
    <w:rsid w:val="007B4D03"/>
    <w:rsid w:val="007B61C5"/>
    <w:rsid w:val="007B6249"/>
    <w:rsid w:val="007B626A"/>
    <w:rsid w:val="007B62FD"/>
    <w:rsid w:val="007B634E"/>
    <w:rsid w:val="007B66C5"/>
    <w:rsid w:val="007B6954"/>
    <w:rsid w:val="007B6B3E"/>
    <w:rsid w:val="007B767A"/>
    <w:rsid w:val="007B7D39"/>
    <w:rsid w:val="007B7DD9"/>
    <w:rsid w:val="007C04C8"/>
    <w:rsid w:val="007C062D"/>
    <w:rsid w:val="007C09C2"/>
    <w:rsid w:val="007C13DC"/>
    <w:rsid w:val="007C1402"/>
    <w:rsid w:val="007C180A"/>
    <w:rsid w:val="007C191C"/>
    <w:rsid w:val="007C1C28"/>
    <w:rsid w:val="007C1CB1"/>
    <w:rsid w:val="007C1EAB"/>
    <w:rsid w:val="007C1F4A"/>
    <w:rsid w:val="007C280D"/>
    <w:rsid w:val="007C2923"/>
    <w:rsid w:val="007C2AD7"/>
    <w:rsid w:val="007C2B68"/>
    <w:rsid w:val="007C3073"/>
    <w:rsid w:val="007C3084"/>
    <w:rsid w:val="007C35B8"/>
    <w:rsid w:val="007C3789"/>
    <w:rsid w:val="007C3FAA"/>
    <w:rsid w:val="007C4164"/>
    <w:rsid w:val="007C41FA"/>
    <w:rsid w:val="007C4706"/>
    <w:rsid w:val="007C4B83"/>
    <w:rsid w:val="007C4DD7"/>
    <w:rsid w:val="007C509D"/>
    <w:rsid w:val="007C5A00"/>
    <w:rsid w:val="007C61F0"/>
    <w:rsid w:val="007C627E"/>
    <w:rsid w:val="007C6316"/>
    <w:rsid w:val="007C6662"/>
    <w:rsid w:val="007C677C"/>
    <w:rsid w:val="007C68F1"/>
    <w:rsid w:val="007C6C6A"/>
    <w:rsid w:val="007C6DFB"/>
    <w:rsid w:val="007C7077"/>
    <w:rsid w:val="007C74A5"/>
    <w:rsid w:val="007C797C"/>
    <w:rsid w:val="007D0900"/>
    <w:rsid w:val="007D09D1"/>
    <w:rsid w:val="007D0B54"/>
    <w:rsid w:val="007D123E"/>
    <w:rsid w:val="007D18AB"/>
    <w:rsid w:val="007D2509"/>
    <w:rsid w:val="007D2734"/>
    <w:rsid w:val="007D2AEB"/>
    <w:rsid w:val="007D30E1"/>
    <w:rsid w:val="007D31B4"/>
    <w:rsid w:val="007D328B"/>
    <w:rsid w:val="007D3A9B"/>
    <w:rsid w:val="007D40A8"/>
    <w:rsid w:val="007D45A7"/>
    <w:rsid w:val="007D48B2"/>
    <w:rsid w:val="007D50A7"/>
    <w:rsid w:val="007D5148"/>
    <w:rsid w:val="007D5381"/>
    <w:rsid w:val="007D5F2D"/>
    <w:rsid w:val="007D63C1"/>
    <w:rsid w:val="007D6529"/>
    <w:rsid w:val="007D6551"/>
    <w:rsid w:val="007D66ED"/>
    <w:rsid w:val="007D6819"/>
    <w:rsid w:val="007D6A2D"/>
    <w:rsid w:val="007D6A51"/>
    <w:rsid w:val="007D7085"/>
    <w:rsid w:val="007D7422"/>
    <w:rsid w:val="007D77B0"/>
    <w:rsid w:val="007D79BC"/>
    <w:rsid w:val="007D7C84"/>
    <w:rsid w:val="007E037A"/>
    <w:rsid w:val="007E06BF"/>
    <w:rsid w:val="007E0717"/>
    <w:rsid w:val="007E0A01"/>
    <w:rsid w:val="007E0ADD"/>
    <w:rsid w:val="007E0DE1"/>
    <w:rsid w:val="007E1D08"/>
    <w:rsid w:val="007E1EE1"/>
    <w:rsid w:val="007E1F04"/>
    <w:rsid w:val="007E2A3F"/>
    <w:rsid w:val="007E2FF6"/>
    <w:rsid w:val="007E31C4"/>
    <w:rsid w:val="007E3251"/>
    <w:rsid w:val="007E34AF"/>
    <w:rsid w:val="007E357F"/>
    <w:rsid w:val="007E35B3"/>
    <w:rsid w:val="007E39F9"/>
    <w:rsid w:val="007E3B0B"/>
    <w:rsid w:val="007E3B6D"/>
    <w:rsid w:val="007E3F5E"/>
    <w:rsid w:val="007E432A"/>
    <w:rsid w:val="007E4927"/>
    <w:rsid w:val="007E4BCE"/>
    <w:rsid w:val="007E4F62"/>
    <w:rsid w:val="007E55A8"/>
    <w:rsid w:val="007E5617"/>
    <w:rsid w:val="007E5B2E"/>
    <w:rsid w:val="007E5DDA"/>
    <w:rsid w:val="007E5EB3"/>
    <w:rsid w:val="007E60B0"/>
    <w:rsid w:val="007E685B"/>
    <w:rsid w:val="007E68F9"/>
    <w:rsid w:val="007E6CA8"/>
    <w:rsid w:val="007E6FA2"/>
    <w:rsid w:val="007E7DC8"/>
    <w:rsid w:val="007F0074"/>
    <w:rsid w:val="007F0164"/>
    <w:rsid w:val="007F0176"/>
    <w:rsid w:val="007F01EE"/>
    <w:rsid w:val="007F02FA"/>
    <w:rsid w:val="007F0692"/>
    <w:rsid w:val="007F0A07"/>
    <w:rsid w:val="007F103E"/>
    <w:rsid w:val="007F12E3"/>
    <w:rsid w:val="007F1885"/>
    <w:rsid w:val="007F1F62"/>
    <w:rsid w:val="007F20D5"/>
    <w:rsid w:val="007F2252"/>
    <w:rsid w:val="007F23A8"/>
    <w:rsid w:val="007F3198"/>
    <w:rsid w:val="007F3371"/>
    <w:rsid w:val="007F3858"/>
    <w:rsid w:val="007F3944"/>
    <w:rsid w:val="007F3D6D"/>
    <w:rsid w:val="007F3E4B"/>
    <w:rsid w:val="007F45AC"/>
    <w:rsid w:val="007F4BB9"/>
    <w:rsid w:val="007F4F19"/>
    <w:rsid w:val="007F5282"/>
    <w:rsid w:val="007F52F0"/>
    <w:rsid w:val="007F562B"/>
    <w:rsid w:val="007F594F"/>
    <w:rsid w:val="007F5DD2"/>
    <w:rsid w:val="007F663C"/>
    <w:rsid w:val="007F67F9"/>
    <w:rsid w:val="007F6AA6"/>
    <w:rsid w:val="007F6AC7"/>
    <w:rsid w:val="007F6B44"/>
    <w:rsid w:val="007F70F3"/>
    <w:rsid w:val="007F7130"/>
    <w:rsid w:val="007F73DE"/>
    <w:rsid w:val="007F75FE"/>
    <w:rsid w:val="007F7C58"/>
    <w:rsid w:val="00800A2D"/>
    <w:rsid w:val="00800F76"/>
    <w:rsid w:val="00801451"/>
    <w:rsid w:val="008018CB"/>
    <w:rsid w:val="00801BAD"/>
    <w:rsid w:val="008023FD"/>
    <w:rsid w:val="00802930"/>
    <w:rsid w:val="00802F6A"/>
    <w:rsid w:val="00803D78"/>
    <w:rsid w:val="00804424"/>
    <w:rsid w:val="008046A9"/>
    <w:rsid w:val="00804705"/>
    <w:rsid w:val="00804815"/>
    <w:rsid w:val="00804988"/>
    <w:rsid w:val="00805064"/>
    <w:rsid w:val="0080519F"/>
    <w:rsid w:val="0080595B"/>
    <w:rsid w:val="00805CCE"/>
    <w:rsid w:val="00806204"/>
    <w:rsid w:val="00806635"/>
    <w:rsid w:val="00806902"/>
    <w:rsid w:val="008069FF"/>
    <w:rsid w:val="00806CCE"/>
    <w:rsid w:val="008076CB"/>
    <w:rsid w:val="008078F1"/>
    <w:rsid w:val="00807D34"/>
    <w:rsid w:val="00810110"/>
    <w:rsid w:val="0081056E"/>
    <w:rsid w:val="0081078E"/>
    <w:rsid w:val="008107C4"/>
    <w:rsid w:val="00811A4D"/>
    <w:rsid w:val="00811EFE"/>
    <w:rsid w:val="00812499"/>
    <w:rsid w:val="008126F4"/>
    <w:rsid w:val="008127D2"/>
    <w:rsid w:val="008128E0"/>
    <w:rsid w:val="00812B1F"/>
    <w:rsid w:val="00813D71"/>
    <w:rsid w:val="008140A3"/>
    <w:rsid w:val="00814505"/>
    <w:rsid w:val="0081458C"/>
    <w:rsid w:val="0081464B"/>
    <w:rsid w:val="008146CD"/>
    <w:rsid w:val="00814C92"/>
    <w:rsid w:val="00814DDC"/>
    <w:rsid w:val="00816B01"/>
    <w:rsid w:val="00816C15"/>
    <w:rsid w:val="00816E7F"/>
    <w:rsid w:val="0081772D"/>
    <w:rsid w:val="008204DE"/>
    <w:rsid w:val="0082070C"/>
    <w:rsid w:val="00820969"/>
    <w:rsid w:val="00820D6D"/>
    <w:rsid w:val="0082135F"/>
    <w:rsid w:val="00821B04"/>
    <w:rsid w:val="00821B5B"/>
    <w:rsid w:val="0082222D"/>
    <w:rsid w:val="00822570"/>
    <w:rsid w:val="0082270A"/>
    <w:rsid w:val="008227CA"/>
    <w:rsid w:val="00822AF8"/>
    <w:rsid w:val="00822E9B"/>
    <w:rsid w:val="00823691"/>
    <w:rsid w:val="008239A7"/>
    <w:rsid w:val="00823B34"/>
    <w:rsid w:val="00823C70"/>
    <w:rsid w:val="00823E8E"/>
    <w:rsid w:val="008243C6"/>
    <w:rsid w:val="008249C9"/>
    <w:rsid w:val="00824BC3"/>
    <w:rsid w:val="00824CF7"/>
    <w:rsid w:val="00824E9C"/>
    <w:rsid w:val="0082562D"/>
    <w:rsid w:val="00825C47"/>
    <w:rsid w:val="00825D01"/>
    <w:rsid w:val="008261B3"/>
    <w:rsid w:val="008264A2"/>
    <w:rsid w:val="00826950"/>
    <w:rsid w:val="00826DD9"/>
    <w:rsid w:val="00827186"/>
    <w:rsid w:val="00827738"/>
    <w:rsid w:val="00827806"/>
    <w:rsid w:val="00827905"/>
    <w:rsid w:val="00827DB4"/>
    <w:rsid w:val="00827E62"/>
    <w:rsid w:val="008309D4"/>
    <w:rsid w:val="00830ABF"/>
    <w:rsid w:val="00830E06"/>
    <w:rsid w:val="00830E76"/>
    <w:rsid w:val="0083195A"/>
    <w:rsid w:val="00831EDA"/>
    <w:rsid w:val="00831F42"/>
    <w:rsid w:val="00832660"/>
    <w:rsid w:val="00832819"/>
    <w:rsid w:val="00832961"/>
    <w:rsid w:val="00832AC1"/>
    <w:rsid w:val="00832C41"/>
    <w:rsid w:val="00832C83"/>
    <w:rsid w:val="00832E9B"/>
    <w:rsid w:val="008337EE"/>
    <w:rsid w:val="00833865"/>
    <w:rsid w:val="008339A4"/>
    <w:rsid w:val="00833B03"/>
    <w:rsid w:val="00833C64"/>
    <w:rsid w:val="00833CC6"/>
    <w:rsid w:val="00834870"/>
    <w:rsid w:val="00834BDA"/>
    <w:rsid w:val="008350DB"/>
    <w:rsid w:val="00835155"/>
    <w:rsid w:val="00835677"/>
    <w:rsid w:val="008358C3"/>
    <w:rsid w:val="00835A09"/>
    <w:rsid w:val="00835A15"/>
    <w:rsid w:val="00835BAE"/>
    <w:rsid w:val="00835BCE"/>
    <w:rsid w:val="00835C86"/>
    <w:rsid w:val="0083605A"/>
    <w:rsid w:val="0083616E"/>
    <w:rsid w:val="0083625B"/>
    <w:rsid w:val="00836696"/>
    <w:rsid w:val="0083679B"/>
    <w:rsid w:val="00836DE7"/>
    <w:rsid w:val="00836DF9"/>
    <w:rsid w:val="0083705C"/>
    <w:rsid w:val="0083787A"/>
    <w:rsid w:val="0084041A"/>
    <w:rsid w:val="008409C6"/>
    <w:rsid w:val="00840FB6"/>
    <w:rsid w:val="008411B8"/>
    <w:rsid w:val="008414DE"/>
    <w:rsid w:val="00841DCB"/>
    <w:rsid w:val="008427E0"/>
    <w:rsid w:val="00842C46"/>
    <w:rsid w:val="00842D83"/>
    <w:rsid w:val="00842EAE"/>
    <w:rsid w:val="00843F8C"/>
    <w:rsid w:val="008444EB"/>
    <w:rsid w:val="0084485B"/>
    <w:rsid w:val="008449ED"/>
    <w:rsid w:val="00844F5D"/>
    <w:rsid w:val="00845B59"/>
    <w:rsid w:val="00845D0A"/>
    <w:rsid w:val="00845E8A"/>
    <w:rsid w:val="00845EF2"/>
    <w:rsid w:val="008460A6"/>
    <w:rsid w:val="0084610A"/>
    <w:rsid w:val="00846220"/>
    <w:rsid w:val="00846604"/>
    <w:rsid w:val="00846726"/>
    <w:rsid w:val="0084693F"/>
    <w:rsid w:val="00846ABD"/>
    <w:rsid w:val="00846BD9"/>
    <w:rsid w:val="00846C81"/>
    <w:rsid w:val="00846CC3"/>
    <w:rsid w:val="00847073"/>
    <w:rsid w:val="008472CD"/>
    <w:rsid w:val="0084742F"/>
    <w:rsid w:val="008476D4"/>
    <w:rsid w:val="00847702"/>
    <w:rsid w:val="00847A58"/>
    <w:rsid w:val="00850140"/>
    <w:rsid w:val="00850E54"/>
    <w:rsid w:val="0085116E"/>
    <w:rsid w:val="0085159A"/>
    <w:rsid w:val="00851AB0"/>
    <w:rsid w:val="0085244B"/>
    <w:rsid w:val="00852784"/>
    <w:rsid w:val="00852E4A"/>
    <w:rsid w:val="0085336B"/>
    <w:rsid w:val="008535FB"/>
    <w:rsid w:val="00853693"/>
    <w:rsid w:val="00853C6C"/>
    <w:rsid w:val="00853FC3"/>
    <w:rsid w:val="0085422D"/>
    <w:rsid w:val="00854A9B"/>
    <w:rsid w:val="0085597A"/>
    <w:rsid w:val="00855B80"/>
    <w:rsid w:val="00856168"/>
    <w:rsid w:val="00856890"/>
    <w:rsid w:val="00856C08"/>
    <w:rsid w:val="00857098"/>
    <w:rsid w:val="0085722F"/>
    <w:rsid w:val="008574F9"/>
    <w:rsid w:val="008577F3"/>
    <w:rsid w:val="00857E08"/>
    <w:rsid w:val="00860B71"/>
    <w:rsid w:val="00860E35"/>
    <w:rsid w:val="00861037"/>
    <w:rsid w:val="00861076"/>
    <w:rsid w:val="00861294"/>
    <w:rsid w:val="008618D8"/>
    <w:rsid w:val="00861BB8"/>
    <w:rsid w:val="00861CB0"/>
    <w:rsid w:val="0086294E"/>
    <w:rsid w:val="00862B92"/>
    <w:rsid w:val="00862E23"/>
    <w:rsid w:val="00863896"/>
    <w:rsid w:val="00863A49"/>
    <w:rsid w:val="00863F4E"/>
    <w:rsid w:val="008645EB"/>
    <w:rsid w:val="00864692"/>
    <w:rsid w:val="0086496D"/>
    <w:rsid w:val="00864A17"/>
    <w:rsid w:val="00864B3E"/>
    <w:rsid w:val="0086504A"/>
    <w:rsid w:val="008651D5"/>
    <w:rsid w:val="00865755"/>
    <w:rsid w:val="0086606E"/>
    <w:rsid w:val="008667CF"/>
    <w:rsid w:val="00866BF8"/>
    <w:rsid w:val="00867107"/>
    <w:rsid w:val="008676EE"/>
    <w:rsid w:val="00870C41"/>
    <w:rsid w:val="0087106E"/>
    <w:rsid w:val="00871364"/>
    <w:rsid w:val="008715B9"/>
    <w:rsid w:val="008717BF"/>
    <w:rsid w:val="0087229E"/>
    <w:rsid w:val="00872A33"/>
    <w:rsid w:val="00872A4C"/>
    <w:rsid w:val="00872E33"/>
    <w:rsid w:val="00872E5C"/>
    <w:rsid w:val="00872FD7"/>
    <w:rsid w:val="008731D7"/>
    <w:rsid w:val="00873921"/>
    <w:rsid w:val="00873E75"/>
    <w:rsid w:val="00874449"/>
    <w:rsid w:val="008747C8"/>
    <w:rsid w:val="008747F8"/>
    <w:rsid w:val="008757AD"/>
    <w:rsid w:val="00876A36"/>
    <w:rsid w:val="00876A8E"/>
    <w:rsid w:val="00876BA4"/>
    <w:rsid w:val="00876E8A"/>
    <w:rsid w:val="00876EF5"/>
    <w:rsid w:val="00876F87"/>
    <w:rsid w:val="00877D9D"/>
    <w:rsid w:val="00877FE6"/>
    <w:rsid w:val="0088061E"/>
    <w:rsid w:val="00880842"/>
    <w:rsid w:val="00880C6C"/>
    <w:rsid w:val="00880D5B"/>
    <w:rsid w:val="00880FE2"/>
    <w:rsid w:val="008810BA"/>
    <w:rsid w:val="008811D9"/>
    <w:rsid w:val="00881406"/>
    <w:rsid w:val="00881A8C"/>
    <w:rsid w:val="00881E34"/>
    <w:rsid w:val="008822A0"/>
    <w:rsid w:val="0088240C"/>
    <w:rsid w:val="008826CB"/>
    <w:rsid w:val="00882A7C"/>
    <w:rsid w:val="00882C13"/>
    <w:rsid w:val="008832B0"/>
    <w:rsid w:val="008836A2"/>
    <w:rsid w:val="00883705"/>
    <w:rsid w:val="0088417A"/>
    <w:rsid w:val="0088426B"/>
    <w:rsid w:val="00884F5F"/>
    <w:rsid w:val="008854CC"/>
    <w:rsid w:val="00885613"/>
    <w:rsid w:val="00885694"/>
    <w:rsid w:val="00885BB9"/>
    <w:rsid w:val="00885D48"/>
    <w:rsid w:val="008860B5"/>
    <w:rsid w:val="00886209"/>
    <w:rsid w:val="0088634F"/>
    <w:rsid w:val="00886889"/>
    <w:rsid w:val="0088694B"/>
    <w:rsid w:val="00886CD3"/>
    <w:rsid w:val="008874F1"/>
    <w:rsid w:val="00890063"/>
    <w:rsid w:val="008904CB"/>
    <w:rsid w:val="00890579"/>
    <w:rsid w:val="0089072D"/>
    <w:rsid w:val="00890E7A"/>
    <w:rsid w:val="008916CD"/>
    <w:rsid w:val="00892765"/>
    <w:rsid w:val="008928CC"/>
    <w:rsid w:val="0089317C"/>
    <w:rsid w:val="0089335B"/>
    <w:rsid w:val="008933CC"/>
    <w:rsid w:val="00893646"/>
    <w:rsid w:val="00893707"/>
    <w:rsid w:val="00893DC9"/>
    <w:rsid w:val="00893EE8"/>
    <w:rsid w:val="00894454"/>
    <w:rsid w:val="00894835"/>
    <w:rsid w:val="008949A3"/>
    <w:rsid w:val="00894BE8"/>
    <w:rsid w:val="00894DAE"/>
    <w:rsid w:val="0089588F"/>
    <w:rsid w:val="00895E5F"/>
    <w:rsid w:val="00896821"/>
    <w:rsid w:val="008968B4"/>
    <w:rsid w:val="00896FA9"/>
    <w:rsid w:val="0089711F"/>
    <w:rsid w:val="008977B2"/>
    <w:rsid w:val="00897BD4"/>
    <w:rsid w:val="008A0117"/>
    <w:rsid w:val="008A05F5"/>
    <w:rsid w:val="008A0659"/>
    <w:rsid w:val="008A0A10"/>
    <w:rsid w:val="008A0AD2"/>
    <w:rsid w:val="008A1BF3"/>
    <w:rsid w:val="008A1C70"/>
    <w:rsid w:val="008A1F78"/>
    <w:rsid w:val="008A2255"/>
    <w:rsid w:val="008A260A"/>
    <w:rsid w:val="008A26D3"/>
    <w:rsid w:val="008A2C71"/>
    <w:rsid w:val="008A3649"/>
    <w:rsid w:val="008A3BEF"/>
    <w:rsid w:val="008A3E70"/>
    <w:rsid w:val="008A3F08"/>
    <w:rsid w:val="008A422C"/>
    <w:rsid w:val="008A43E9"/>
    <w:rsid w:val="008A486B"/>
    <w:rsid w:val="008A592C"/>
    <w:rsid w:val="008A5D71"/>
    <w:rsid w:val="008A6984"/>
    <w:rsid w:val="008A6B9D"/>
    <w:rsid w:val="008A766F"/>
    <w:rsid w:val="008A768C"/>
    <w:rsid w:val="008A77E3"/>
    <w:rsid w:val="008A786C"/>
    <w:rsid w:val="008A7C9F"/>
    <w:rsid w:val="008B02C8"/>
    <w:rsid w:val="008B06FC"/>
    <w:rsid w:val="008B094E"/>
    <w:rsid w:val="008B0B58"/>
    <w:rsid w:val="008B0E2C"/>
    <w:rsid w:val="008B100F"/>
    <w:rsid w:val="008B11D9"/>
    <w:rsid w:val="008B137A"/>
    <w:rsid w:val="008B1404"/>
    <w:rsid w:val="008B14D0"/>
    <w:rsid w:val="008B1A61"/>
    <w:rsid w:val="008B1AB6"/>
    <w:rsid w:val="008B2C35"/>
    <w:rsid w:val="008B3AB5"/>
    <w:rsid w:val="008B3F74"/>
    <w:rsid w:val="008B402B"/>
    <w:rsid w:val="008B433E"/>
    <w:rsid w:val="008B463C"/>
    <w:rsid w:val="008B4CCD"/>
    <w:rsid w:val="008B4E88"/>
    <w:rsid w:val="008B507B"/>
    <w:rsid w:val="008B556D"/>
    <w:rsid w:val="008B5954"/>
    <w:rsid w:val="008B5C94"/>
    <w:rsid w:val="008B617A"/>
    <w:rsid w:val="008B6432"/>
    <w:rsid w:val="008B67AD"/>
    <w:rsid w:val="008B6B58"/>
    <w:rsid w:val="008B723E"/>
    <w:rsid w:val="008B75B4"/>
    <w:rsid w:val="008B775B"/>
    <w:rsid w:val="008B78B1"/>
    <w:rsid w:val="008B7A8B"/>
    <w:rsid w:val="008B7BCC"/>
    <w:rsid w:val="008B7C52"/>
    <w:rsid w:val="008B7C7B"/>
    <w:rsid w:val="008C01A9"/>
    <w:rsid w:val="008C033F"/>
    <w:rsid w:val="008C0387"/>
    <w:rsid w:val="008C0567"/>
    <w:rsid w:val="008C05EA"/>
    <w:rsid w:val="008C079D"/>
    <w:rsid w:val="008C0826"/>
    <w:rsid w:val="008C09A4"/>
    <w:rsid w:val="008C0B0A"/>
    <w:rsid w:val="008C0F29"/>
    <w:rsid w:val="008C152A"/>
    <w:rsid w:val="008C1660"/>
    <w:rsid w:val="008C1747"/>
    <w:rsid w:val="008C1D30"/>
    <w:rsid w:val="008C23C7"/>
    <w:rsid w:val="008C25EC"/>
    <w:rsid w:val="008C2CFE"/>
    <w:rsid w:val="008C3110"/>
    <w:rsid w:val="008C335C"/>
    <w:rsid w:val="008C33E2"/>
    <w:rsid w:val="008C33FE"/>
    <w:rsid w:val="008C378A"/>
    <w:rsid w:val="008C37BC"/>
    <w:rsid w:val="008C3AD3"/>
    <w:rsid w:val="008C3AF6"/>
    <w:rsid w:val="008C41AF"/>
    <w:rsid w:val="008C4A8B"/>
    <w:rsid w:val="008C4BA9"/>
    <w:rsid w:val="008C4F58"/>
    <w:rsid w:val="008C4FC6"/>
    <w:rsid w:val="008C51FA"/>
    <w:rsid w:val="008C5A20"/>
    <w:rsid w:val="008C67D8"/>
    <w:rsid w:val="008C69F7"/>
    <w:rsid w:val="008C6E16"/>
    <w:rsid w:val="008C74E4"/>
    <w:rsid w:val="008C7524"/>
    <w:rsid w:val="008C75D0"/>
    <w:rsid w:val="008C7A2A"/>
    <w:rsid w:val="008C7B2D"/>
    <w:rsid w:val="008C7E5C"/>
    <w:rsid w:val="008C7FF3"/>
    <w:rsid w:val="008D05FA"/>
    <w:rsid w:val="008D0803"/>
    <w:rsid w:val="008D080F"/>
    <w:rsid w:val="008D08BE"/>
    <w:rsid w:val="008D1053"/>
    <w:rsid w:val="008D12E3"/>
    <w:rsid w:val="008D17B6"/>
    <w:rsid w:val="008D1861"/>
    <w:rsid w:val="008D198A"/>
    <w:rsid w:val="008D21B5"/>
    <w:rsid w:val="008D2790"/>
    <w:rsid w:val="008D2995"/>
    <w:rsid w:val="008D29FD"/>
    <w:rsid w:val="008D2DF9"/>
    <w:rsid w:val="008D3BED"/>
    <w:rsid w:val="008D3E66"/>
    <w:rsid w:val="008D45D3"/>
    <w:rsid w:val="008D4857"/>
    <w:rsid w:val="008D6A8E"/>
    <w:rsid w:val="008D704E"/>
    <w:rsid w:val="008D7346"/>
    <w:rsid w:val="008D7DFB"/>
    <w:rsid w:val="008E0521"/>
    <w:rsid w:val="008E07EF"/>
    <w:rsid w:val="008E0832"/>
    <w:rsid w:val="008E0948"/>
    <w:rsid w:val="008E0A42"/>
    <w:rsid w:val="008E0D20"/>
    <w:rsid w:val="008E1517"/>
    <w:rsid w:val="008E19A6"/>
    <w:rsid w:val="008E1BEB"/>
    <w:rsid w:val="008E22F8"/>
    <w:rsid w:val="008E2840"/>
    <w:rsid w:val="008E2E4A"/>
    <w:rsid w:val="008E33BD"/>
    <w:rsid w:val="008E3A8C"/>
    <w:rsid w:val="008E3D9C"/>
    <w:rsid w:val="008E3F42"/>
    <w:rsid w:val="008E4073"/>
    <w:rsid w:val="008E40C6"/>
    <w:rsid w:val="008E4579"/>
    <w:rsid w:val="008E474E"/>
    <w:rsid w:val="008E4794"/>
    <w:rsid w:val="008E47E4"/>
    <w:rsid w:val="008E492D"/>
    <w:rsid w:val="008E4B5D"/>
    <w:rsid w:val="008E4E7F"/>
    <w:rsid w:val="008E60DB"/>
    <w:rsid w:val="008E6B0F"/>
    <w:rsid w:val="008E6B6E"/>
    <w:rsid w:val="008E6E9C"/>
    <w:rsid w:val="008E6F00"/>
    <w:rsid w:val="008E73AF"/>
    <w:rsid w:val="008E7A6F"/>
    <w:rsid w:val="008E7C21"/>
    <w:rsid w:val="008E7C57"/>
    <w:rsid w:val="008E7D24"/>
    <w:rsid w:val="008E7E69"/>
    <w:rsid w:val="008F00D6"/>
    <w:rsid w:val="008F0C9F"/>
    <w:rsid w:val="008F0ECB"/>
    <w:rsid w:val="008F1399"/>
    <w:rsid w:val="008F194C"/>
    <w:rsid w:val="008F1AA7"/>
    <w:rsid w:val="008F1DB8"/>
    <w:rsid w:val="008F20CE"/>
    <w:rsid w:val="008F22D2"/>
    <w:rsid w:val="008F23EA"/>
    <w:rsid w:val="008F2C00"/>
    <w:rsid w:val="008F3171"/>
    <w:rsid w:val="008F3BB5"/>
    <w:rsid w:val="008F4126"/>
    <w:rsid w:val="008F433B"/>
    <w:rsid w:val="008F4DE4"/>
    <w:rsid w:val="008F55EB"/>
    <w:rsid w:val="008F5653"/>
    <w:rsid w:val="008F5815"/>
    <w:rsid w:val="008F582A"/>
    <w:rsid w:val="008F5F95"/>
    <w:rsid w:val="008F5FCC"/>
    <w:rsid w:val="008F6031"/>
    <w:rsid w:val="008F612C"/>
    <w:rsid w:val="008F635A"/>
    <w:rsid w:val="008F63F2"/>
    <w:rsid w:val="008F64FF"/>
    <w:rsid w:val="008F6D5E"/>
    <w:rsid w:val="008F7459"/>
    <w:rsid w:val="008F7468"/>
    <w:rsid w:val="008F75DB"/>
    <w:rsid w:val="008F7A6D"/>
    <w:rsid w:val="008F7AD1"/>
    <w:rsid w:val="00900157"/>
    <w:rsid w:val="009004A0"/>
    <w:rsid w:val="00900972"/>
    <w:rsid w:val="00900C86"/>
    <w:rsid w:val="00900D18"/>
    <w:rsid w:val="0090104A"/>
    <w:rsid w:val="00901320"/>
    <w:rsid w:val="0090133A"/>
    <w:rsid w:val="009016A0"/>
    <w:rsid w:val="0090180E"/>
    <w:rsid w:val="009021A2"/>
    <w:rsid w:val="00902223"/>
    <w:rsid w:val="009023A5"/>
    <w:rsid w:val="00902759"/>
    <w:rsid w:val="00902C9B"/>
    <w:rsid w:val="009030ED"/>
    <w:rsid w:val="009031B5"/>
    <w:rsid w:val="009031DA"/>
    <w:rsid w:val="00903270"/>
    <w:rsid w:val="00903683"/>
    <w:rsid w:val="00903A79"/>
    <w:rsid w:val="00903CD7"/>
    <w:rsid w:val="00904644"/>
    <w:rsid w:val="00904808"/>
    <w:rsid w:val="00904AB3"/>
    <w:rsid w:val="00904F67"/>
    <w:rsid w:val="009051C1"/>
    <w:rsid w:val="00905671"/>
    <w:rsid w:val="009056C9"/>
    <w:rsid w:val="009059E7"/>
    <w:rsid w:val="00905B96"/>
    <w:rsid w:val="00906179"/>
    <w:rsid w:val="00906542"/>
    <w:rsid w:val="00906BA3"/>
    <w:rsid w:val="00906D30"/>
    <w:rsid w:val="009072E4"/>
    <w:rsid w:val="009074A6"/>
    <w:rsid w:val="00907873"/>
    <w:rsid w:val="00910221"/>
    <w:rsid w:val="0091038A"/>
    <w:rsid w:val="00910C14"/>
    <w:rsid w:val="0091173B"/>
    <w:rsid w:val="009118FE"/>
    <w:rsid w:val="009119B6"/>
    <w:rsid w:val="00911A43"/>
    <w:rsid w:val="00911BA6"/>
    <w:rsid w:val="00911C4A"/>
    <w:rsid w:val="00912029"/>
    <w:rsid w:val="00912174"/>
    <w:rsid w:val="00912243"/>
    <w:rsid w:val="009122FD"/>
    <w:rsid w:val="009123F5"/>
    <w:rsid w:val="0091275F"/>
    <w:rsid w:val="00912AAC"/>
    <w:rsid w:val="00912D7A"/>
    <w:rsid w:val="00912DB1"/>
    <w:rsid w:val="00912EEF"/>
    <w:rsid w:val="009135BE"/>
    <w:rsid w:val="00913B20"/>
    <w:rsid w:val="00913B89"/>
    <w:rsid w:val="009143AC"/>
    <w:rsid w:val="00914466"/>
    <w:rsid w:val="00914674"/>
    <w:rsid w:val="00914CCC"/>
    <w:rsid w:val="00915315"/>
    <w:rsid w:val="009153DC"/>
    <w:rsid w:val="00915488"/>
    <w:rsid w:val="009154ED"/>
    <w:rsid w:val="009158F8"/>
    <w:rsid w:val="009160C9"/>
    <w:rsid w:val="0091634A"/>
    <w:rsid w:val="00916492"/>
    <w:rsid w:val="009166D3"/>
    <w:rsid w:val="00916816"/>
    <w:rsid w:val="00916D9E"/>
    <w:rsid w:val="00917272"/>
    <w:rsid w:val="009173C8"/>
    <w:rsid w:val="009176C1"/>
    <w:rsid w:val="00917DD2"/>
    <w:rsid w:val="00917EE6"/>
    <w:rsid w:val="00917FE8"/>
    <w:rsid w:val="00920032"/>
    <w:rsid w:val="0092017F"/>
    <w:rsid w:val="0092025B"/>
    <w:rsid w:val="009205CB"/>
    <w:rsid w:val="009206DC"/>
    <w:rsid w:val="00920988"/>
    <w:rsid w:val="00920FCD"/>
    <w:rsid w:val="00921083"/>
    <w:rsid w:val="00921563"/>
    <w:rsid w:val="00921771"/>
    <w:rsid w:val="00921CBD"/>
    <w:rsid w:val="0092254D"/>
    <w:rsid w:val="00922586"/>
    <w:rsid w:val="009227DA"/>
    <w:rsid w:val="00922811"/>
    <w:rsid w:val="00922931"/>
    <w:rsid w:val="009230C3"/>
    <w:rsid w:val="00923208"/>
    <w:rsid w:val="009232AD"/>
    <w:rsid w:val="009234AD"/>
    <w:rsid w:val="00923843"/>
    <w:rsid w:val="00923A95"/>
    <w:rsid w:val="00924307"/>
    <w:rsid w:val="009248C7"/>
    <w:rsid w:val="00924D0B"/>
    <w:rsid w:val="00924F5E"/>
    <w:rsid w:val="0092568E"/>
    <w:rsid w:val="0092589A"/>
    <w:rsid w:val="00925968"/>
    <w:rsid w:val="00925B88"/>
    <w:rsid w:val="00925C69"/>
    <w:rsid w:val="009262B6"/>
    <w:rsid w:val="00926884"/>
    <w:rsid w:val="00926D97"/>
    <w:rsid w:val="00926E70"/>
    <w:rsid w:val="009270EC"/>
    <w:rsid w:val="009271BD"/>
    <w:rsid w:val="00927709"/>
    <w:rsid w:val="009277D9"/>
    <w:rsid w:val="00927B5D"/>
    <w:rsid w:val="00927DBB"/>
    <w:rsid w:val="00927EEE"/>
    <w:rsid w:val="0093013C"/>
    <w:rsid w:val="00930459"/>
    <w:rsid w:val="009313CA"/>
    <w:rsid w:val="009313D7"/>
    <w:rsid w:val="00931497"/>
    <w:rsid w:val="00931AAA"/>
    <w:rsid w:val="00931C0F"/>
    <w:rsid w:val="00931EEE"/>
    <w:rsid w:val="00932C71"/>
    <w:rsid w:val="0093469D"/>
    <w:rsid w:val="00934EAA"/>
    <w:rsid w:val="00934FE2"/>
    <w:rsid w:val="009356D3"/>
    <w:rsid w:val="00935FCE"/>
    <w:rsid w:val="009365D4"/>
    <w:rsid w:val="00936BFF"/>
    <w:rsid w:val="00936E87"/>
    <w:rsid w:val="00936EC1"/>
    <w:rsid w:val="009376F7"/>
    <w:rsid w:val="00937D8E"/>
    <w:rsid w:val="0094004C"/>
    <w:rsid w:val="0094032F"/>
    <w:rsid w:val="00940902"/>
    <w:rsid w:val="00940D2E"/>
    <w:rsid w:val="00940D84"/>
    <w:rsid w:val="009411B9"/>
    <w:rsid w:val="0094131D"/>
    <w:rsid w:val="009419DC"/>
    <w:rsid w:val="009420F2"/>
    <w:rsid w:val="009422B8"/>
    <w:rsid w:val="009425D0"/>
    <w:rsid w:val="009425F1"/>
    <w:rsid w:val="009428F1"/>
    <w:rsid w:val="009439DA"/>
    <w:rsid w:val="00944409"/>
    <w:rsid w:val="009444F9"/>
    <w:rsid w:val="00944572"/>
    <w:rsid w:val="00944BA9"/>
    <w:rsid w:val="00944DB5"/>
    <w:rsid w:val="00944DF3"/>
    <w:rsid w:val="009452BF"/>
    <w:rsid w:val="0094550E"/>
    <w:rsid w:val="0094575D"/>
    <w:rsid w:val="009457B5"/>
    <w:rsid w:val="00945E11"/>
    <w:rsid w:val="009461F1"/>
    <w:rsid w:val="00946340"/>
    <w:rsid w:val="0094645B"/>
    <w:rsid w:val="009468CF"/>
    <w:rsid w:val="009470B1"/>
    <w:rsid w:val="00947748"/>
    <w:rsid w:val="00947AAF"/>
    <w:rsid w:val="00950405"/>
    <w:rsid w:val="009505F3"/>
    <w:rsid w:val="009507C5"/>
    <w:rsid w:val="00950927"/>
    <w:rsid w:val="00950A5E"/>
    <w:rsid w:val="0095126D"/>
    <w:rsid w:val="00951563"/>
    <w:rsid w:val="00951C15"/>
    <w:rsid w:val="009521BB"/>
    <w:rsid w:val="0095226E"/>
    <w:rsid w:val="00952281"/>
    <w:rsid w:val="00952BDA"/>
    <w:rsid w:val="00952FE0"/>
    <w:rsid w:val="00953883"/>
    <w:rsid w:val="009539C4"/>
    <w:rsid w:val="00953FB1"/>
    <w:rsid w:val="00954471"/>
    <w:rsid w:val="00954750"/>
    <w:rsid w:val="009547B0"/>
    <w:rsid w:val="00954B75"/>
    <w:rsid w:val="00954CB9"/>
    <w:rsid w:val="00955181"/>
    <w:rsid w:val="00955A3C"/>
    <w:rsid w:val="00955FBC"/>
    <w:rsid w:val="0095615E"/>
    <w:rsid w:val="00956567"/>
    <w:rsid w:val="009566F6"/>
    <w:rsid w:val="00956850"/>
    <w:rsid w:val="00956926"/>
    <w:rsid w:val="00956AE8"/>
    <w:rsid w:val="00956B1A"/>
    <w:rsid w:val="00956C2A"/>
    <w:rsid w:val="00957298"/>
    <w:rsid w:val="009573CB"/>
    <w:rsid w:val="00957BBD"/>
    <w:rsid w:val="00957F82"/>
    <w:rsid w:val="00960000"/>
    <w:rsid w:val="00960075"/>
    <w:rsid w:val="0096042F"/>
    <w:rsid w:val="0096052B"/>
    <w:rsid w:val="0096054A"/>
    <w:rsid w:val="0096058F"/>
    <w:rsid w:val="009606B9"/>
    <w:rsid w:val="0096093A"/>
    <w:rsid w:val="00961151"/>
    <w:rsid w:val="00961187"/>
    <w:rsid w:val="009613E4"/>
    <w:rsid w:val="0096248E"/>
    <w:rsid w:val="009625DD"/>
    <w:rsid w:val="00962736"/>
    <w:rsid w:val="00962963"/>
    <w:rsid w:val="00962F6B"/>
    <w:rsid w:val="00962FAD"/>
    <w:rsid w:val="009630A8"/>
    <w:rsid w:val="00964791"/>
    <w:rsid w:val="009654C8"/>
    <w:rsid w:val="00965518"/>
    <w:rsid w:val="009656EA"/>
    <w:rsid w:val="009661C5"/>
    <w:rsid w:val="009668F0"/>
    <w:rsid w:val="00966B24"/>
    <w:rsid w:val="00966F73"/>
    <w:rsid w:val="00967A1D"/>
    <w:rsid w:val="00967B2C"/>
    <w:rsid w:val="00967BCE"/>
    <w:rsid w:val="0097030F"/>
    <w:rsid w:val="009704B5"/>
    <w:rsid w:val="009707DF"/>
    <w:rsid w:val="00970BB2"/>
    <w:rsid w:val="00970CCB"/>
    <w:rsid w:val="00970D68"/>
    <w:rsid w:val="00971202"/>
    <w:rsid w:val="009714AB"/>
    <w:rsid w:val="0097163B"/>
    <w:rsid w:val="009717E4"/>
    <w:rsid w:val="00971924"/>
    <w:rsid w:val="00972290"/>
    <w:rsid w:val="0097256D"/>
    <w:rsid w:val="0097262B"/>
    <w:rsid w:val="00972B40"/>
    <w:rsid w:val="00972FCD"/>
    <w:rsid w:val="00973F8F"/>
    <w:rsid w:val="00974255"/>
    <w:rsid w:val="00974F7C"/>
    <w:rsid w:val="00975801"/>
    <w:rsid w:val="00975A09"/>
    <w:rsid w:val="00975D6E"/>
    <w:rsid w:val="009761E1"/>
    <w:rsid w:val="0097659A"/>
    <w:rsid w:val="0097664C"/>
    <w:rsid w:val="0097727E"/>
    <w:rsid w:val="009777FC"/>
    <w:rsid w:val="00977C11"/>
    <w:rsid w:val="00977D5A"/>
    <w:rsid w:val="00977FEF"/>
    <w:rsid w:val="00980057"/>
    <w:rsid w:val="0098094D"/>
    <w:rsid w:val="009811C1"/>
    <w:rsid w:val="0098120A"/>
    <w:rsid w:val="0098200C"/>
    <w:rsid w:val="0098206D"/>
    <w:rsid w:val="009821A1"/>
    <w:rsid w:val="00982297"/>
    <w:rsid w:val="0098319B"/>
    <w:rsid w:val="0098377F"/>
    <w:rsid w:val="00983890"/>
    <w:rsid w:val="009840FD"/>
    <w:rsid w:val="0098481F"/>
    <w:rsid w:val="0098561D"/>
    <w:rsid w:val="00985767"/>
    <w:rsid w:val="009860F8"/>
    <w:rsid w:val="009867E0"/>
    <w:rsid w:val="00986A9B"/>
    <w:rsid w:val="0098759D"/>
    <w:rsid w:val="009876C0"/>
    <w:rsid w:val="0098772E"/>
    <w:rsid w:val="00987877"/>
    <w:rsid w:val="00987F07"/>
    <w:rsid w:val="00990833"/>
    <w:rsid w:val="009909CB"/>
    <w:rsid w:val="00990B08"/>
    <w:rsid w:val="00990C36"/>
    <w:rsid w:val="00990C5C"/>
    <w:rsid w:val="00990E6B"/>
    <w:rsid w:val="00991A5E"/>
    <w:rsid w:val="00991BB5"/>
    <w:rsid w:val="00991DCF"/>
    <w:rsid w:val="00991FB4"/>
    <w:rsid w:val="009920F0"/>
    <w:rsid w:val="00992589"/>
    <w:rsid w:val="00993714"/>
    <w:rsid w:val="0099379A"/>
    <w:rsid w:val="0099418A"/>
    <w:rsid w:val="00994204"/>
    <w:rsid w:val="009943AE"/>
    <w:rsid w:val="00994FE3"/>
    <w:rsid w:val="00995A24"/>
    <w:rsid w:val="00995DB3"/>
    <w:rsid w:val="00996718"/>
    <w:rsid w:val="00996741"/>
    <w:rsid w:val="00996A26"/>
    <w:rsid w:val="00996AD3"/>
    <w:rsid w:val="00997884"/>
    <w:rsid w:val="00997C08"/>
    <w:rsid w:val="009A08F1"/>
    <w:rsid w:val="009A128E"/>
    <w:rsid w:val="009A1793"/>
    <w:rsid w:val="009A17F1"/>
    <w:rsid w:val="009A19BC"/>
    <w:rsid w:val="009A2526"/>
    <w:rsid w:val="009A2C67"/>
    <w:rsid w:val="009A3411"/>
    <w:rsid w:val="009A377D"/>
    <w:rsid w:val="009A3988"/>
    <w:rsid w:val="009A39F5"/>
    <w:rsid w:val="009A3E26"/>
    <w:rsid w:val="009A5A43"/>
    <w:rsid w:val="009A5FCC"/>
    <w:rsid w:val="009A6039"/>
    <w:rsid w:val="009A622E"/>
    <w:rsid w:val="009A62FD"/>
    <w:rsid w:val="009A63C2"/>
    <w:rsid w:val="009A6472"/>
    <w:rsid w:val="009A64C1"/>
    <w:rsid w:val="009A66F4"/>
    <w:rsid w:val="009A70FD"/>
    <w:rsid w:val="009A71B8"/>
    <w:rsid w:val="009A7209"/>
    <w:rsid w:val="009A7550"/>
    <w:rsid w:val="009A799B"/>
    <w:rsid w:val="009A7C16"/>
    <w:rsid w:val="009A7C8F"/>
    <w:rsid w:val="009A7FF9"/>
    <w:rsid w:val="009B00F1"/>
    <w:rsid w:val="009B052D"/>
    <w:rsid w:val="009B05C7"/>
    <w:rsid w:val="009B07C0"/>
    <w:rsid w:val="009B0F31"/>
    <w:rsid w:val="009B125E"/>
    <w:rsid w:val="009B1DB0"/>
    <w:rsid w:val="009B2814"/>
    <w:rsid w:val="009B2FE4"/>
    <w:rsid w:val="009B30E5"/>
    <w:rsid w:val="009B38AC"/>
    <w:rsid w:val="009B39C2"/>
    <w:rsid w:val="009B3C29"/>
    <w:rsid w:val="009B44E3"/>
    <w:rsid w:val="009B4776"/>
    <w:rsid w:val="009B48A4"/>
    <w:rsid w:val="009B4BEA"/>
    <w:rsid w:val="009B4FD1"/>
    <w:rsid w:val="009B5122"/>
    <w:rsid w:val="009B5A30"/>
    <w:rsid w:val="009B5AB5"/>
    <w:rsid w:val="009B5E07"/>
    <w:rsid w:val="009B672F"/>
    <w:rsid w:val="009B6EA5"/>
    <w:rsid w:val="009B6F54"/>
    <w:rsid w:val="009B736D"/>
    <w:rsid w:val="009B7381"/>
    <w:rsid w:val="009B754A"/>
    <w:rsid w:val="009C0A4E"/>
    <w:rsid w:val="009C0CBB"/>
    <w:rsid w:val="009C0F8A"/>
    <w:rsid w:val="009C1595"/>
    <w:rsid w:val="009C173A"/>
    <w:rsid w:val="009C1841"/>
    <w:rsid w:val="009C1951"/>
    <w:rsid w:val="009C1A54"/>
    <w:rsid w:val="009C2085"/>
    <w:rsid w:val="009C274E"/>
    <w:rsid w:val="009C27A5"/>
    <w:rsid w:val="009C2A7A"/>
    <w:rsid w:val="009C33F1"/>
    <w:rsid w:val="009C361E"/>
    <w:rsid w:val="009C3A97"/>
    <w:rsid w:val="009C3DC2"/>
    <w:rsid w:val="009C49F2"/>
    <w:rsid w:val="009C5906"/>
    <w:rsid w:val="009C590D"/>
    <w:rsid w:val="009C5A69"/>
    <w:rsid w:val="009C5EA3"/>
    <w:rsid w:val="009C6ABE"/>
    <w:rsid w:val="009C6BF8"/>
    <w:rsid w:val="009C712E"/>
    <w:rsid w:val="009C72CB"/>
    <w:rsid w:val="009C73C3"/>
    <w:rsid w:val="009C7444"/>
    <w:rsid w:val="009C7D0F"/>
    <w:rsid w:val="009D0756"/>
    <w:rsid w:val="009D0A62"/>
    <w:rsid w:val="009D0E23"/>
    <w:rsid w:val="009D10AA"/>
    <w:rsid w:val="009D1728"/>
    <w:rsid w:val="009D1932"/>
    <w:rsid w:val="009D208B"/>
    <w:rsid w:val="009D21EE"/>
    <w:rsid w:val="009D2EB9"/>
    <w:rsid w:val="009D3014"/>
    <w:rsid w:val="009D344C"/>
    <w:rsid w:val="009D3843"/>
    <w:rsid w:val="009D3A83"/>
    <w:rsid w:val="009D3CB8"/>
    <w:rsid w:val="009D3CFE"/>
    <w:rsid w:val="009D40D8"/>
    <w:rsid w:val="009D4224"/>
    <w:rsid w:val="009D43CE"/>
    <w:rsid w:val="009D48DA"/>
    <w:rsid w:val="009D4DCE"/>
    <w:rsid w:val="009D4EBB"/>
    <w:rsid w:val="009D587B"/>
    <w:rsid w:val="009D6145"/>
    <w:rsid w:val="009D7054"/>
    <w:rsid w:val="009D766B"/>
    <w:rsid w:val="009D7705"/>
    <w:rsid w:val="009D77D1"/>
    <w:rsid w:val="009D799F"/>
    <w:rsid w:val="009D7B2F"/>
    <w:rsid w:val="009E028E"/>
    <w:rsid w:val="009E05CC"/>
    <w:rsid w:val="009E0A0B"/>
    <w:rsid w:val="009E0B27"/>
    <w:rsid w:val="009E0B2D"/>
    <w:rsid w:val="009E0CF7"/>
    <w:rsid w:val="009E0D0E"/>
    <w:rsid w:val="009E0E0F"/>
    <w:rsid w:val="009E0F6C"/>
    <w:rsid w:val="009E1005"/>
    <w:rsid w:val="009E1074"/>
    <w:rsid w:val="009E1125"/>
    <w:rsid w:val="009E16D4"/>
    <w:rsid w:val="009E2717"/>
    <w:rsid w:val="009E2A04"/>
    <w:rsid w:val="009E34AE"/>
    <w:rsid w:val="009E47C8"/>
    <w:rsid w:val="009E4B66"/>
    <w:rsid w:val="009E4BEB"/>
    <w:rsid w:val="009E51F2"/>
    <w:rsid w:val="009E524B"/>
    <w:rsid w:val="009E5426"/>
    <w:rsid w:val="009E54E3"/>
    <w:rsid w:val="009E5CDA"/>
    <w:rsid w:val="009E5F8C"/>
    <w:rsid w:val="009E5FA2"/>
    <w:rsid w:val="009E6064"/>
    <w:rsid w:val="009E621E"/>
    <w:rsid w:val="009E660B"/>
    <w:rsid w:val="009E6A35"/>
    <w:rsid w:val="009E6A95"/>
    <w:rsid w:val="009E6F27"/>
    <w:rsid w:val="009E7150"/>
    <w:rsid w:val="009E7879"/>
    <w:rsid w:val="009E792D"/>
    <w:rsid w:val="009F0172"/>
    <w:rsid w:val="009F0289"/>
    <w:rsid w:val="009F0F22"/>
    <w:rsid w:val="009F1061"/>
    <w:rsid w:val="009F13E0"/>
    <w:rsid w:val="009F15DB"/>
    <w:rsid w:val="009F246B"/>
    <w:rsid w:val="009F262E"/>
    <w:rsid w:val="009F3311"/>
    <w:rsid w:val="009F35C1"/>
    <w:rsid w:val="009F3CF7"/>
    <w:rsid w:val="009F3ECA"/>
    <w:rsid w:val="009F45EC"/>
    <w:rsid w:val="009F47AE"/>
    <w:rsid w:val="009F48EE"/>
    <w:rsid w:val="009F4A5D"/>
    <w:rsid w:val="009F4AEF"/>
    <w:rsid w:val="009F4BD6"/>
    <w:rsid w:val="009F4DBB"/>
    <w:rsid w:val="009F54D6"/>
    <w:rsid w:val="009F581F"/>
    <w:rsid w:val="009F5D0A"/>
    <w:rsid w:val="009F6180"/>
    <w:rsid w:val="009F6192"/>
    <w:rsid w:val="009F68D0"/>
    <w:rsid w:val="009F6C66"/>
    <w:rsid w:val="009F6C86"/>
    <w:rsid w:val="009F6EB4"/>
    <w:rsid w:val="009F70C9"/>
    <w:rsid w:val="009F7360"/>
    <w:rsid w:val="009F763A"/>
    <w:rsid w:val="00A00402"/>
    <w:rsid w:val="00A00E0A"/>
    <w:rsid w:val="00A00E68"/>
    <w:rsid w:val="00A01495"/>
    <w:rsid w:val="00A01653"/>
    <w:rsid w:val="00A019EC"/>
    <w:rsid w:val="00A0274A"/>
    <w:rsid w:val="00A03BCB"/>
    <w:rsid w:val="00A03C98"/>
    <w:rsid w:val="00A04013"/>
    <w:rsid w:val="00A0449F"/>
    <w:rsid w:val="00A044B1"/>
    <w:rsid w:val="00A04754"/>
    <w:rsid w:val="00A0528D"/>
    <w:rsid w:val="00A05DC1"/>
    <w:rsid w:val="00A05FE6"/>
    <w:rsid w:val="00A060D4"/>
    <w:rsid w:val="00A06830"/>
    <w:rsid w:val="00A068EF"/>
    <w:rsid w:val="00A06B52"/>
    <w:rsid w:val="00A06C45"/>
    <w:rsid w:val="00A072EE"/>
    <w:rsid w:val="00A0766B"/>
    <w:rsid w:val="00A078C2"/>
    <w:rsid w:val="00A07B3C"/>
    <w:rsid w:val="00A10200"/>
    <w:rsid w:val="00A10490"/>
    <w:rsid w:val="00A10934"/>
    <w:rsid w:val="00A11360"/>
    <w:rsid w:val="00A118B6"/>
    <w:rsid w:val="00A1197C"/>
    <w:rsid w:val="00A11F91"/>
    <w:rsid w:val="00A12073"/>
    <w:rsid w:val="00A124F7"/>
    <w:rsid w:val="00A126BD"/>
    <w:rsid w:val="00A12910"/>
    <w:rsid w:val="00A13AB0"/>
    <w:rsid w:val="00A13BB1"/>
    <w:rsid w:val="00A13C58"/>
    <w:rsid w:val="00A14330"/>
    <w:rsid w:val="00A1484C"/>
    <w:rsid w:val="00A14EED"/>
    <w:rsid w:val="00A151F9"/>
    <w:rsid w:val="00A16604"/>
    <w:rsid w:val="00A1667F"/>
    <w:rsid w:val="00A16A55"/>
    <w:rsid w:val="00A16D15"/>
    <w:rsid w:val="00A16EBC"/>
    <w:rsid w:val="00A16EEF"/>
    <w:rsid w:val="00A16F5D"/>
    <w:rsid w:val="00A1707E"/>
    <w:rsid w:val="00A173CF"/>
    <w:rsid w:val="00A175B5"/>
    <w:rsid w:val="00A177DC"/>
    <w:rsid w:val="00A20BA4"/>
    <w:rsid w:val="00A20D26"/>
    <w:rsid w:val="00A214FA"/>
    <w:rsid w:val="00A2173D"/>
    <w:rsid w:val="00A222F9"/>
    <w:rsid w:val="00A2232B"/>
    <w:rsid w:val="00A2287D"/>
    <w:rsid w:val="00A22E25"/>
    <w:rsid w:val="00A2310A"/>
    <w:rsid w:val="00A23356"/>
    <w:rsid w:val="00A23674"/>
    <w:rsid w:val="00A23706"/>
    <w:rsid w:val="00A237FE"/>
    <w:rsid w:val="00A239B2"/>
    <w:rsid w:val="00A23DAE"/>
    <w:rsid w:val="00A248B8"/>
    <w:rsid w:val="00A24C1E"/>
    <w:rsid w:val="00A24EDD"/>
    <w:rsid w:val="00A25085"/>
    <w:rsid w:val="00A25352"/>
    <w:rsid w:val="00A25753"/>
    <w:rsid w:val="00A25824"/>
    <w:rsid w:val="00A25C40"/>
    <w:rsid w:val="00A25FB4"/>
    <w:rsid w:val="00A264E4"/>
    <w:rsid w:val="00A268EC"/>
    <w:rsid w:val="00A26BC4"/>
    <w:rsid w:val="00A27277"/>
    <w:rsid w:val="00A272A2"/>
    <w:rsid w:val="00A27ABB"/>
    <w:rsid w:val="00A27C4D"/>
    <w:rsid w:val="00A2F348"/>
    <w:rsid w:val="00A30132"/>
    <w:rsid w:val="00A304F4"/>
    <w:rsid w:val="00A30E14"/>
    <w:rsid w:val="00A31CA8"/>
    <w:rsid w:val="00A31CEC"/>
    <w:rsid w:val="00A31D10"/>
    <w:rsid w:val="00A325BD"/>
    <w:rsid w:val="00A32D3E"/>
    <w:rsid w:val="00A33418"/>
    <w:rsid w:val="00A34399"/>
    <w:rsid w:val="00A344CC"/>
    <w:rsid w:val="00A346A6"/>
    <w:rsid w:val="00A347AF"/>
    <w:rsid w:val="00A34887"/>
    <w:rsid w:val="00A34A6F"/>
    <w:rsid w:val="00A34D40"/>
    <w:rsid w:val="00A35792"/>
    <w:rsid w:val="00A35873"/>
    <w:rsid w:val="00A359F4"/>
    <w:rsid w:val="00A35D69"/>
    <w:rsid w:val="00A35FCE"/>
    <w:rsid w:val="00A3665B"/>
    <w:rsid w:val="00A369C3"/>
    <w:rsid w:val="00A36B8F"/>
    <w:rsid w:val="00A36ECA"/>
    <w:rsid w:val="00A370A7"/>
    <w:rsid w:val="00A3768B"/>
    <w:rsid w:val="00A37AA3"/>
    <w:rsid w:val="00A40C1A"/>
    <w:rsid w:val="00A40ED3"/>
    <w:rsid w:val="00A411A4"/>
    <w:rsid w:val="00A413E2"/>
    <w:rsid w:val="00A41419"/>
    <w:rsid w:val="00A41536"/>
    <w:rsid w:val="00A4157C"/>
    <w:rsid w:val="00A417B5"/>
    <w:rsid w:val="00A41AF7"/>
    <w:rsid w:val="00A42AD1"/>
    <w:rsid w:val="00A42F21"/>
    <w:rsid w:val="00A43099"/>
    <w:rsid w:val="00A439B2"/>
    <w:rsid w:val="00A43EA3"/>
    <w:rsid w:val="00A44154"/>
    <w:rsid w:val="00A44C9E"/>
    <w:rsid w:val="00A45492"/>
    <w:rsid w:val="00A457D3"/>
    <w:rsid w:val="00A45801"/>
    <w:rsid w:val="00A45B9C"/>
    <w:rsid w:val="00A45CBC"/>
    <w:rsid w:val="00A45CFE"/>
    <w:rsid w:val="00A46055"/>
    <w:rsid w:val="00A46131"/>
    <w:rsid w:val="00A46150"/>
    <w:rsid w:val="00A4625B"/>
    <w:rsid w:val="00A47301"/>
    <w:rsid w:val="00A47579"/>
    <w:rsid w:val="00A47DAB"/>
    <w:rsid w:val="00A47FE3"/>
    <w:rsid w:val="00A5008D"/>
    <w:rsid w:val="00A50B0F"/>
    <w:rsid w:val="00A50D28"/>
    <w:rsid w:val="00A51069"/>
    <w:rsid w:val="00A5134D"/>
    <w:rsid w:val="00A51485"/>
    <w:rsid w:val="00A516F4"/>
    <w:rsid w:val="00A51901"/>
    <w:rsid w:val="00A51B78"/>
    <w:rsid w:val="00A52E7B"/>
    <w:rsid w:val="00A52F13"/>
    <w:rsid w:val="00A5303A"/>
    <w:rsid w:val="00A53079"/>
    <w:rsid w:val="00A540E2"/>
    <w:rsid w:val="00A54286"/>
    <w:rsid w:val="00A5472D"/>
    <w:rsid w:val="00A54815"/>
    <w:rsid w:val="00A549C2"/>
    <w:rsid w:val="00A54A52"/>
    <w:rsid w:val="00A54AE8"/>
    <w:rsid w:val="00A54B4F"/>
    <w:rsid w:val="00A54E52"/>
    <w:rsid w:val="00A55026"/>
    <w:rsid w:val="00A55100"/>
    <w:rsid w:val="00A55104"/>
    <w:rsid w:val="00A55355"/>
    <w:rsid w:val="00A5537F"/>
    <w:rsid w:val="00A557CC"/>
    <w:rsid w:val="00A55AC1"/>
    <w:rsid w:val="00A55C2C"/>
    <w:rsid w:val="00A55FCC"/>
    <w:rsid w:val="00A5620B"/>
    <w:rsid w:val="00A56AE0"/>
    <w:rsid w:val="00A56CDC"/>
    <w:rsid w:val="00A56D2E"/>
    <w:rsid w:val="00A56E38"/>
    <w:rsid w:val="00A57155"/>
    <w:rsid w:val="00A57298"/>
    <w:rsid w:val="00A572CA"/>
    <w:rsid w:val="00A579B9"/>
    <w:rsid w:val="00A604B3"/>
    <w:rsid w:val="00A605A5"/>
    <w:rsid w:val="00A618B5"/>
    <w:rsid w:val="00A61B07"/>
    <w:rsid w:val="00A61B51"/>
    <w:rsid w:val="00A61F4A"/>
    <w:rsid w:val="00A62350"/>
    <w:rsid w:val="00A624FC"/>
    <w:rsid w:val="00A62717"/>
    <w:rsid w:val="00A628D3"/>
    <w:rsid w:val="00A62926"/>
    <w:rsid w:val="00A62E0D"/>
    <w:rsid w:val="00A63273"/>
    <w:rsid w:val="00A63702"/>
    <w:rsid w:val="00A637BE"/>
    <w:rsid w:val="00A63AC2"/>
    <w:rsid w:val="00A63AC6"/>
    <w:rsid w:val="00A63DA7"/>
    <w:rsid w:val="00A63E3F"/>
    <w:rsid w:val="00A63EF4"/>
    <w:rsid w:val="00A64108"/>
    <w:rsid w:val="00A641D0"/>
    <w:rsid w:val="00A64446"/>
    <w:rsid w:val="00A646F5"/>
    <w:rsid w:val="00A64817"/>
    <w:rsid w:val="00A64E24"/>
    <w:rsid w:val="00A65451"/>
    <w:rsid w:val="00A6577A"/>
    <w:rsid w:val="00A65BBA"/>
    <w:rsid w:val="00A662E1"/>
    <w:rsid w:val="00A66754"/>
    <w:rsid w:val="00A66792"/>
    <w:rsid w:val="00A66D45"/>
    <w:rsid w:val="00A671B5"/>
    <w:rsid w:val="00A6721D"/>
    <w:rsid w:val="00A67464"/>
    <w:rsid w:val="00A67F2D"/>
    <w:rsid w:val="00A7056E"/>
    <w:rsid w:val="00A70CB8"/>
    <w:rsid w:val="00A70F2F"/>
    <w:rsid w:val="00A7147C"/>
    <w:rsid w:val="00A716B1"/>
    <w:rsid w:val="00A725FE"/>
    <w:rsid w:val="00A7279E"/>
    <w:rsid w:val="00A727A7"/>
    <w:rsid w:val="00A728B4"/>
    <w:rsid w:val="00A730DC"/>
    <w:rsid w:val="00A73174"/>
    <w:rsid w:val="00A73203"/>
    <w:rsid w:val="00A7340C"/>
    <w:rsid w:val="00A73440"/>
    <w:rsid w:val="00A7356E"/>
    <w:rsid w:val="00A737D6"/>
    <w:rsid w:val="00A73C3C"/>
    <w:rsid w:val="00A740CD"/>
    <w:rsid w:val="00A743A7"/>
    <w:rsid w:val="00A74759"/>
    <w:rsid w:val="00A7494B"/>
    <w:rsid w:val="00A74D92"/>
    <w:rsid w:val="00A7546B"/>
    <w:rsid w:val="00A7557F"/>
    <w:rsid w:val="00A7566B"/>
    <w:rsid w:val="00A757E4"/>
    <w:rsid w:val="00A75971"/>
    <w:rsid w:val="00A75B64"/>
    <w:rsid w:val="00A75EE5"/>
    <w:rsid w:val="00A76091"/>
    <w:rsid w:val="00A7631D"/>
    <w:rsid w:val="00A770F3"/>
    <w:rsid w:val="00A77376"/>
    <w:rsid w:val="00A77789"/>
    <w:rsid w:val="00A778E3"/>
    <w:rsid w:val="00A80008"/>
    <w:rsid w:val="00A800D0"/>
    <w:rsid w:val="00A801B2"/>
    <w:rsid w:val="00A803B3"/>
    <w:rsid w:val="00A8077A"/>
    <w:rsid w:val="00A80A39"/>
    <w:rsid w:val="00A80B09"/>
    <w:rsid w:val="00A81070"/>
    <w:rsid w:val="00A810E0"/>
    <w:rsid w:val="00A81990"/>
    <w:rsid w:val="00A81AA0"/>
    <w:rsid w:val="00A82188"/>
    <w:rsid w:val="00A826BF"/>
    <w:rsid w:val="00A82E9E"/>
    <w:rsid w:val="00A830AF"/>
    <w:rsid w:val="00A836EB"/>
    <w:rsid w:val="00A8387E"/>
    <w:rsid w:val="00A83A63"/>
    <w:rsid w:val="00A83AF7"/>
    <w:rsid w:val="00A841B5"/>
    <w:rsid w:val="00A84206"/>
    <w:rsid w:val="00A84B46"/>
    <w:rsid w:val="00A84D00"/>
    <w:rsid w:val="00A84E17"/>
    <w:rsid w:val="00A8537A"/>
    <w:rsid w:val="00A85AAA"/>
    <w:rsid w:val="00A85D68"/>
    <w:rsid w:val="00A877AF"/>
    <w:rsid w:val="00A87BE6"/>
    <w:rsid w:val="00A87C1C"/>
    <w:rsid w:val="00A87C6B"/>
    <w:rsid w:val="00A87CE1"/>
    <w:rsid w:val="00A90320"/>
    <w:rsid w:val="00A903FE"/>
    <w:rsid w:val="00A907FA"/>
    <w:rsid w:val="00A909FC"/>
    <w:rsid w:val="00A90F8A"/>
    <w:rsid w:val="00A91690"/>
    <w:rsid w:val="00A91F96"/>
    <w:rsid w:val="00A922A2"/>
    <w:rsid w:val="00A9342D"/>
    <w:rsid w:val="00A93F69"/>
    <w:rsid w:val="00A94C35"/>
    <w:rsid w:val="00A95076"/>
    <w:rsid w:val="00A958A4"/>
    <w:rsid w:val="00A95960"/>
    <w:rsid w:val="00A95D41"/>
    <w:rsid w:val="00A96346"/>
    <w:rsid w:val="00A964FB"/>
    <w:rsid w:val="00A966BC"/>
    <w:rsid w:val="00A96731"/>
    <w:rsid w:val="00A96840"/>
    <w:rsid w:val="00A97198"/>
    <w:rsid w:val="00A97262"/>
    <w:rsid w:val="00A97749"/>
    <w:rsid w:val="00A97A54"/>
    <w:rsid w:val="00A97A74"/>
    <w:rsid w:val="00AA00BD"/>
    <w:rsid w:val="00AA0201"/>
    <w:rsid w:val="00AA02AA"/>
    <w:rsid w:val="00AA03D5"/>
    <w:rsid w:val="00AA03E8"/>
    <w:rsid w:val="00AA099E"/>
    <w:rsid w:val="00AA09F0"/>
    <w:rsid w:val="00AA0D81"/>
    <w:rsid w:val="00AA103B"/>
    <w:rsid w:val="00AA16B9"/>
    <w:rsid w:val="00AA1AA4"/>
    <w:rsid w:val="00AA24A5"/>
    <w:rsid w:val="00AA255B"/>
    <w:rsid w:val="00AA2720"/>
    <w:rsid w:val="00AA2B3D"/>
    <w:rsid w:val="00AA3129"/>
    <w:rsid w:val="00AA41DF"/>
    <w:rsid w:val="00AA45A6"/>
    <w:rsid w:val="00AA45BE"/>
    <w:rsid w:val="00AA534D"/>
    <w:rsid w:val="00AA55D5"/>
    <w:rsid w:val="00AA567C"/>
    <w:rsid w:val="00AA60C1"/>
    <w:rsid w:val="00AA6731"/>
    <w:rsid w:val="00AA6F0C"/>
    <w:rsid w:val="00AA7176"/>
    <w:rsid w:val="00AA755B"/>
    <w:rsid w:val="00AA7631"/>
    <w:rsid w:val="00AA76BC"/>
    <w:rsid w:val="00AA7847"/>
    <w:rsid w:val="00AA78FE"/>
    <w:rsid w:val="00AB00D2"/>
    <w:rsid w:val="00AB09D6"/>
    <w:rsid w:val="00AB153C"/>
    <w:rsid w:val="00AB1E5E"/>
    <w:rsid w:val="00AB1ED3"/>
    <w:rsid w:val="00AB295C"/>
    <w:rsid w:val="00AB2D6B"/>
    <w:rsid w:val="00AB2E42"/>
    <w:rsid w:val="00AB33B7"/>
    <w:rsid w:val="00AB3AD8"/>
    <w:rsid w:val="00AB3B1C"/>
    <w:rsid w:val="00AB4237"/>
    <w:rsid w:val="00AB4A83"/>
    <w:rsid w:val="00AB4B66"/>
    <w:rsid w:val="00AB4BD6"/>
    <w:rsid w:val="00AB625F"/>
    <w:rsid w:val="00AB665C"/>
    <w:rsid w:val="00AB6A9D"/>
    <w:rsid w:val="00AB705A"/>
    <w:rsid w:val="00AB73EA"/>
    <w:rsid w:val="00AB74A8"/>
    <w:rsid w:val="00AB7A5C"/>
    <w:rsid w:val="00AB7AC0"/>
    <w:rsid w:val="00AB7D84"/>
    <w:rsid w:val="00AC0775"/>
    <w:rsid w:val="00AC089B"/>
    <w:rsid w:val="00AC0AA6"/>
    <w:rsid w:val="00AC1490"/>
    <w:rsid w:val="00AC1969"/>
    <w:rsid w:val="00AC1B06"/>
    <w:rsid w:val="00AC1C1C"/>
    <w:rsid w:val="00AC1FC4"/>
    <w:rsid w:val="00AC201E"/>
    <w:rsid w:val="00AC2AF8"/>
    <w:rsid w:val="00AC2B90"/>
    <w:rsid w:val="00AC2C08"/>
    <w:rsid w:val="00AC2E1A"/>
    <w:rsid w:val="00AC31A6"/>
    <w:rsid w:val="00AC3A7C"/>
    <w:rsid w:val="00AC4C31"/>
    <w:rsid w:val="00AC4F47"/>
    <w:rsid w:val="00AC51D4"/>
    <w:rsid w:val="00AC5432"/>
    <w:rsid w:val="00AC5438"/>
    <w:rsid w:val="00AC55A2"/>
    <w:rsid w:val="00AC5741"/>
    <w:rsid w:val="00AC57D0"/>
    <w:rsid w:val="00AC5D15"/>
    <w:rsid w:val="00AC5D66"/>
    <w:rsid w:val="00AC5D6F"/>
    <w:rsid w:val="00AC63FD"/>
    <w:rsid w:val="00AC6C8F"/>
    <w:rsid w:val="00AC6EB0"/>
    <w:rsid w:val="00AC73E7"/>
    <w:rsid w:val="00AC771A"/>
    <w:rsid w:val="00AC775D"/>
    <w:rsid w:val="00AC7B26"/>
    <w:rsid w:val="00AC7D23"/>
    <w:rsid w:val="00AC7EB4"/>
    <w:rsid w:val="00AD0172"/>
    <w:rsid w:val="00AD0507"/>
    <w:rsid w:val="00AD0A60"/>
    <w:rsid w:val="00AD0F48"/>
    <w:rsid w:val="00AD1751"/>
    <w:rsid w:val="00AD17EB"/>
    <w:rsid w:val="00AD1958"/>
    <w:rsid w:val="00AD1B76"/>
    <w:rsid w:val="00AD2215"/>
    <w:rsid w:val="00AD22FF"/>
    <w:rsid w:val="00AD2F40"/>
    <w:rsid w:val="00AD2FE6"/>
    <w:rsid w:val="00AD305B"/>
    <w:rsid w:val="00AD3273"/>
    <w:rsid w:val="00AD33EE"/>
    <w:rsid w:val="00AD415E"/>
    <w:rsid w:val="00AD4454"/>
    <w:rsid w:val="00AD4E63"/>
    <w:rsid w:val="00AD4EEE"/>
    <w:rsid w:val="00AD5349"/>
    <w:rsid w:val="00AD55CE"/>
    <w:rsid w:val="00AD5712"/>
    <w:rsid w:val="00AD5AB0"/>
    <w:rsid w:val="00AD5ACD"/>
    <w:rsid w:val="00AD60C4"/>
    <w:rsid w:val="00AD61AE"/>
    <w:rsid w:val="00AD68B7"/>
    <w:rsid w:val="00AD6F59"/>
    <w:rsid w:val="00AD7213"/>
    <w:rsid w:val="00AD72AE"/>
    <w:rsid w:val="00AD7345"/>
    <w:rsid w:val="00AD7886"/>
    <w:rsid w:val="00AD7C45"/>
    <w:rsid w:val="00AE036F"/>
    <w:rsid w:val="00AE0882"/>
    <w:rsid w:val="00AE0B96"/>
    <w:rsid w:val="00AE183F"/>
    <w:rsid w:val="00AE1DD4"/>
    <w:rsid w:val="00AE242A"/>
    <w:rsid w:val="00AE2642"/>
    <w:rsid w:val="00AE29EF"/>
    <w:rsid w:val="00AE29F9"/>
    <w:rsid w:val="00AE32D6"/>
    <w:rsid w:val="00AE35FE"/>
    <w:rsid w:val="00AE39D6"/>
    <w:rsid w:val="00AE3B43"/>
    <w:rsid w:val="00AE3D68"/>
    <w:rsid w:val="00AE3D9F"/>
    <w:rsid w:val="00AE419C"/>
    <w:rsid w:val="00AE42BB"/>
    <w:rsid w:val="00AE47FA"/>
    <w:rsid w:val="00AE524B"/>
    <w:rsid w:val="00AE6234"/>
    <w:rsid w:val="00AE64D0"/>
    <w:rsid w:val="00AE6644"/>
    <w:rsid w:val="00AE676B"/>
    <w:rsid w:val="00AE6963"/>
    <w:rsid w:val="00AE6DEC"/>
    <w:rsid w:val="00AE73EC"/>
    <w:rsid w:val="00AE77E6"/>
    <w:rsid w:val="00AF0268"/>
    <w:rsid w:val="00AF0590"/>
    <w:rsid w:val="00AF0A0A"/>
    <w:rsid w:val="00AF0A9E"/>
    <w:rsid w:val="00AF0B1F"/>
    <w:rsid w:val="00AF0D4F"/>
    <w:rsid w:val="00AF1396"/>
    <w:rsid w:val="00AF24FB"/>
    <w:rsid w:val="00AF280B"/>
    <w:rsid w:val="00AF2D31"/>
    <w:rsid w:val="00AF2EBC"/>
    <w:rsid w:val="00AF2ED4"/>
    <w:rsid w:val="00AF4111"/>
    <w:rsid w:val="00AF46C0"/>
    <w:rsid w:val="00AF4BD2"/>
    <w:rsid w:val="00AF4DB1"/>
    <w:rsid w:val="00AF536D"/>
    <w:rsid w:val="00AF54E0"/>
    <w:rsid w:val="00AF59CC"/>
    <w:rsid w:val="00AF5DE9"/>
    <w:rsid w:val="00AF645E"/>
    <w:rsid w:val="00AF660C"/>
    <w:rsid w:val="00AF6C89"/>
    <w:rsid w:val="00AF6D25"/>
    <w:rsid w:val="00AF6F93"/>
    <w:rsid w:val="00AF7195"/>
    <w:rsid w:val="00AF76BE"/>
    <w:rsid w:val="00AF775B"/>
    <w:rsid w:val="00AF77E3"/>
    <w:rsid w:val="00AF7813"/>
    <w:rsid w:val="00AF7E52"/>
    <w:rsid w:val="00AF7FA4"/>
    <w:rsid w:val="00B0057F"/>
    <w:rsid w:val="00B0063A"/>
    <w:rsid w:val="00B00752"/>
    <w:rsid w:val="00B00B9B"/>
    <w:rsid w:val="00B0173A"/>
    <w:rsid w:val="00B01949"/>
    <w:rsid w:val="00B0194C"/>
    <w:rsid w:val="00B0195E"/>
    <w:rsid w:val="00B01BE3"/>
    <w:rsid w:val="00B01CA6"/>
    <w:rsid w:val="00B020DF"/>
    <w:rsid w:val="00B021DC"/>
    <w:rsid w:val="00B023AB"/>
    <w:rsid w:val="00B02471"/>
    <w:rsid w:val="00B025A5"/>
    <w:rsid w:val="00B0262E"/>
    <w:rsid w:val="00B028ED"/>
    <w:rsid w:val="00B028F4"/>
    <w:rsid w:val="00B02962"/>
    <w:rsid w:val="00B02E1E"/>
    <w:rsid w:val="00B03B65"/>
    <w:rsid w:val="00B03B91"/>
    <w:rsid w:val="00B03FFE"/>
    <w:rsid w:val="00B046C0"/>
    <w:rsid w:val="00B047F1"/>
    <w:rsid w:val="00B04ED4"/>
    <w:rsid w:val="00B052F7"/>
    <w:rsid w:val="00B05560"/>
    <w:rsid w:val="00B05787"/>
    <w:rsid w:val="00B058DB"/>
    <w:rsid w:val="00B058E8"/>
    <w:rsid w:val="00B05D43"/>
    <w:rsid w:val="00B05F4C"/>
    <w:rsid w:val="00B05FB7"/>
    <w:rsid w:val="00B07083"/>
    <w:rsid w:val="00B0741E"/>
    <w:rsid w:val="00B07793"/>
    <w:rsid w:val="00B10322"/>
    <w:rsid w:val="00B103FB"/>
    <w:rsid w:val="00B10AA4"/>
    <w:rsid w:val="00B10AAA"/>
    <w:rsid w:val="00B10B56"/>
    <w:rsid w:val="00B115F4"/>
    <w:rsid w:val="00B11BCC"/>
    <w:rsid w:val="00B11F62"/>
    <w:rsid w:val="00B125F7"/>
    <w:rsid w:val="00B12AE2"/>
    <w:rsid w:val="00B12FAD"/>
    <w:rsid w:val="00B12FB1"/>
    <w:rsid w:val="00B143AE"/>
    <w:rsid w:val="00B15474"/>
    <w:rsid w:val="00B15679"/>
    <w:rsid w:val="00B156D3"/>
    <w:rsid w:val="00B1584C"/>
    <w:rsid w:val="00B159F0"/>
    <w:rsid w:val="00B1629B"/>
    <w:rsid w:val="00B164FD"/>
    <w:rsid w:val="00B16847"/>
    <w:rsid w:val="00B16BAB"/>
    <w:rsid w:val="00B16C92"/>
    <w:rsid w:val="00B17081"/>
    <w:rsid w:val="00B171EC"/>
    <w:rsid w:val="00B176DD"/>
    <w:rsid w:val="00B179DE"/>
    <w:rsid w:val="00B17A06"/>
    <w:rsid w:val="00B17AF9"/>
    <w:rsid w:val="00B17E30"/>
    <w:rsid w:val="00B205F8"/>
    <w:rsid w:val="00B20B36"/>
    <w:rsid w:val="00B20BF6"/>
    <w:rsid w:val="00B21002"/>
    <w:rsid w:val="00B216AD"/>
    <w:rsid w:val="00B21969"/>
    <w:rsid w:val="00B22036"/>
    <w:rsid w:val="00B2265E"/>
    <w:rsid w:val="00B22A17"/>
    <w:rsid w:val="00B22D31"/>
    <w:rsid w:val="00B23188"/>
    <w:rsid w:val="00B2353F"/>
    <w:rsid w:val="00B236F4"/>
    <w:rsid w:val="00B241ED"/>
    <w:rsid w:val="00B24403"/>
    <w:rsid w:val="00B244BF"/>
    <w:rsid w:val="00B2457C"/>
    <w:rsid w:val="00B2460A"/>
    <w:rsid w:val="00B24C9E"/>
    <w:rsid w:val="00B25250"/>
    <w:rsid w:val="00B2576A"/>
    <w:rsid w:val="00B257A0"/>
    <w:rsid w:val="00B257BF"/>
    <w:rsid w:val="00B2583F"/>
    <w:rsid w:val="00B25F8F"/>
    <w:rsid w:val="00B25FB5"/>
    <w:rsid w:val="00B263A0"/>
    <w:rsid w:val="00B26B11"/>
    <w:rsid w:val="00B26E05"/>
    <w:rsid w:val="00B26F71"/>
    <w:rsid w:val="00B27265"/>
    <w:rsid w:val="00B273BF"/>
    <w:rsid w:val="00B273F7"/>
    <w:rsid w:val="00B2744F"/>
    <w:rsid w:val="00B27B01"/>
    <w:rsid w:val="00B27C34"/>
    <w:rsid w:val="00B27E90"/>
    <w:rsid w:val="00B30574"/>
    <w:rsid w:val="00B305C5"/>
    <w:rsid w:val="00B3121B"/>
    <w:rsid w:val="00B312A8"/>
    <w:rsid w:val="00B3150B"/>
    <w:rsid w:val="00B32209"/>
    <w:rsid w:val="00B3234A"/>
    <w:rsid w:val="00B32586"/>
    <w:rsid w:val="00B3258C"/>
    <w:rsid w:val="00B326E1"/>
    <w:rsid w:val="00B32CBC"/>
    <w:rsid w:val="00B32CCB"/>
    <w:rsid w:val="00B32FE4"/>
    <w:rsid w:val="00B34102"/>
    <w:rsid w:val="00B3412E"/>
    <w:rsid w:val="00B3463D"/>
    <w:rsid w:val="00B347AB"/>
    <w:rsid w:val="00B34A5F"/>
    <w:rsid w:val="00B34B66"/>
    <w:rsid w:val="00B34C54"/>
    <w:rsid w:val="00B34C55"/>
    <w:rsid w:val="00B34F2F"/>
    <w:rsid w:val="00B34FF8"/>
    <w:rsid w:val="00B3533C"/>
    <w:rsid w:val="00B353A6"/>
    <w:rsid w:val="00B354C5"/>
    <w:rsid w:val="00B3565F"/>
    <w:rsid w:val="00B35802"/>
    <w:rsid w:val="00B35B98"/>
    <w:rsid w:val="00B35C03"/>
    <w:rsid w:val="00B35D44"/>
    <w:rsid w:val="00B36046"/>
    <w:rsid w:val="00B362B7"/>
    <w:rsid w:val="00B37820"/>
    <w:rsid w:val="00B37C0E"/>
    <w:rsid w:val="00B37CA7"/>
    <w:rsid w:val="00B402B8"/>
    <w:rsid w:val="00B40884"/>
    <w:rsid w:val="00B40CD3"/>
    <w:rsid w:val="00B41EC6"/>
    <w:rsid w:val="00B42284"/>
    <w:rsid w:val="00B42353"/>
    <w:rsid w:val="00B42962"/>
    <w:rsid w:val="00B42F98"/>
    <w:rsid w:val="00B43596"/>
    <w:rsid w:val="00B43862"/>
    <w:rsid w:val="00B43FDA"/>
    <w:rsid w:val="00B4441B"/>
    <w:rsid w:val="00B445D0"/>
    <w:rsid w:val="00B448E2"/>
    <w:rsid w:val="00B45A91"/>
    <w:rsid w:val="00B46068"/>
    <w:rsid w:val="00B46079"/>
    <w:rsid w:val="00B46127"/>
    <w:rsid w:val="00B4638E"/>
    <w:rsid w:val="00B46390"/>
    <w:rsid w:val="00B4639E"/>
    <w:rsid w:val="00B4645C"/>
    <w:rsid w:val="00B46AF2"/>
    <w:rsid w:val="00B502B2"/>
    <w:rsid w:val="00B50646"/>
    <w:rsid w:val="00B5066E"/>
    <w:rsid w:val="00B51006"/>
    <w:rsid w:val="00B51435"/>
    <w:rsid w:val="00B51C15"/>
    <w:rsid w:val="00B51CAC"/>
    <w:rsid w:val="00B522D9"/>
    <w:rsid w:val="00B52306"/>
    <w:rsid w:val="00B52313"/>
    <w:rsid w:val="00B524DC"/>
    <w:rsid w:val="00B52760"/>
    <w:rsid w:val="00B527B3"/>
    <w:rsid w:val="00B52B6D"/>
    <w:rsid w:val="00B52FD1"/>
    <w:rsid w:val="00B533C2"/>
    <w:rsid w:val="00B53660"/>
    <w:rsid w:val="00B53828"/>
    <w:rsid w:val="00B53907"/>
    <w:rsid w:val="00B539EF"/>
    <w:rsid w:val="00B53C4B"/>
    <w:rsid w:val="00B54721"/>
    <w:rsid w:val="00B54832"/>
    <w:rsid w:val="00B54B0A"/>
    <w:rsid w:val="00B54F4C"/>
    <w:rsid w:val="00B55372"/>
    <w:rsid w:val="00B5547F"/>
    <w:rsid w:val="00B555B5"/>
    <w:rsid w:val="00B559E0"/>
    <w:rsid w:val="00B55FC2"/>
    <w:rsid w:val="00B56241"/>
    <w:rsid w:val="00B565D7"/>
    <w:rsid w:val="00B57035"/>
    <w:rsid w:val="00B57632"/>
    <w:rsid w:val="00B5774F"/>
    <w:rsid w:val="00B57BE4"/>
    <w:rsid w:val="00B57D70"/>
    <w:rsid w:val="00B57D9A"/>
    <w:rsid w:val="00B57DBE"/>
    <w:rsid w:val="00B600EE"/>
    <w:rsid w:val="00B6011E"/>
    <w:rsid w:val="00B6038E"/>
    <w:rsid w:val="00B608FA"/>
    <w:rsid w:val="00B6092D"/>
    <w:rsid w:val="00B60C96"/>
    <w:rsid w:val="00B60F60"/>
    <w:rsid w:val="00B612DC"/>
    <w:rsid w:val="00B61A40"/>
    <w:rsid w:val="00B61D9B"/>
    <w:rsid w:val="00B61EB9"/>
    <w:rsid w:val="00B61FFF"/>
    <w:rsid w:val="00B62B99"/>
    <w:rsid w:val="00B62CC5"/>
    <w:rsid w:val="00B62FD5"/>
    <w:rsid w:val="00B63408"/>
    <w:rsid w:val="00B63779"/>
    <w:rsid w:val="00B63845"/>
    <w:rsid w:val="00B63896"/>
    <w:rsid w:val="00B63A19"/>
    <w:rsid w:val="00B63C35"/>
    <w:rsid w:val="00B63D87"/>
    <w:rsid w:val="00B6410E"/>
    <w:rsid w:val="00B64299"/>
    <w:rsid w:val="00B648EA"/>
    <w:rsid w:val="00B64AAB"/>
    <w:rsid w:val="00B64BB0"/>
    <w:rsid w:val="00B64FE8"/>
    <w:rsid w:val="00B650F8"/>
    <w:rsid w:val="00B65758"/>
    <w:rsid w:val="00B65A28"/>
    <w:rsid w:val="00B65E10"/>
    <w:rsid w:val="00B66433"/>
    <w:rsid w:val="00B66941"/>
    <w:rsid w:val="00B66F8B"/>
    <w:rsid w:val="00B6770B"/>
    <w:rsid w:val="00B67953"/>
    <w:rsid w:val="00B70188"/>
    <w:rsid w:val="00B7068E"/>
    <w:rsid w:val="00B710E9"/>
    <w:rsid w:val="00B711FC"/>
    <w:rsid w:val="00B714BA"/>
    <w:rsid w:val="00B7169B"/>
    <w:rsid w:val="00B71C32"/>
    <w:rsid w:val="00B71EC7"/>
    <w:rsid w:val="00B71FBB"/>
    <w:rsid w:val="00B7231D"/>
    <w:rsid w:val="00B723B1"/>
    <w:rsid w:val="00B7246B"/>
    <w:rsid w:val="00B72517"/>
    <w:rsid w:val="00B72A15"/>
    <w:rsid w:val="00B72F57"/>
    <w:rsid w:val="00B731CE"/>
    <w:rsid w:val="00B73220"/>
    <w:rsid w:val="00B736A9"/>
    <w:rsid w:val="00B73802"/>
    <w:rsid w:val="00B73B86"/>
    <w:rsid w:val="00B73D6B"/>
    <w:rsid w:val="00B73D8E"/>
    <w:rsid w:val="00B73E42"/>
    <w:rsid w:val="00B73F5F"/>
    <w:rsid w:val="00B7403C"/>
    <w:rsid w:val="00B74389"/>
    <w:rsid w:val="00B74D89"/>
    <w:rsid w:val="00B752A4"/>
    <w:rsid w:val="00B758BC"/>
    <w:rsid w:val="00B75DC7"/>
    <w:rsid w:val="00B75FD6"/>
    <w:rsid w:val="00B760E9"/>
    <w:rsid w:val="00B76812"/>
    <w:rsid w:val="00B76A19"/>
    <w:rsid w:val="00B76C1F"/>
    <w:rsid w:val="00B77442"/>
    <w:rsid w:val="00B77465"/>
    <w:rsid w:val="00B774DA"/>
    <w:rsid w:val="00B80053"/>
    <w:rsid w:val="00B807C0"/>
    <w:rsid w:val="00B80DD1"/>
    <w:rsid w:val="00B80F4D"/>
    <w:rsid w:val="00B80FFA"/>
    <w:rsid w:val="00B811B6"/>
    <w:rsid w:val="00B81869"/>
    <w:rsid w:val="00B818CD"/>
    <w:rsid w:val="00B81B3E"/>
    <w:rsid w:val="00B81D59"/>
    <w:rsid w:val="00B82017"/>
    <w:rsid w:val="00B823EB"/>
    <w:rsid w:val="00B824DB"/>
    <w:rsid w:val="00B824FB"/>
    <w:rsid w:val="00B82A8C"/>
    <w:rsid w:val="00B82B1D"/>
    <w:rsid w:val="00B8375B"/>
    <w:rsid w:val="00B839B7"/>
    <w:rsid w:val="00B84814"/>
    <w:rsid w:val="00B849A8"/>
    <w:rsid w:val="00B854AD"/>
    <w:rsid w:val="00B85807"/>
    <w:rsid w:val="00B85EA2"/>
    <w:rsid w:val="00B86090"/>
    <w:rsid w:val="00B8625B"/>
    <w:rsid w:val="00B86F1D"/>
    <w:rsid w:val="00B874B9"/>
    <w:rsid w:val="00B90319"/>
    <w:rsid w:val="00B9058D"/>
    <w:rsid w:val="00B90B55"/>
    <w:rsid w:val="00B915F8"/>
    <w:rsid w:val="00B91674"/>
    <w:rsid w:val="00B924D9"/>
    <w:rsid w:val="00B92670"/>
    <w:rsid w:val="00B933EA"/>
    <w:rsid w:val="00B935A3"/>
    <w:rsid w:val="00B936C4"/>
    <w:rsid w:val="00B9424A"/>
    <w:rsid w:val="00B94371"/>
    <w:rsid w:val="00B943F5"/>
    <w:rsid w:val="00B946A1"/>
    <w:rsid w:val="00B94A22"/>
    <w:rsid w:val="00B94C84"/>
    <w:rsid w:val="00B94D5C"/>
    <w:rsid w:val="00B94D72"/>
    <w:rsid w:val="00B94E26"/>
    <w:rsid w:val="00B94E60"/>
    <w:rsid w:val="00B9505A"/>
    <w:rsid w:val="00B9506E"/>
    <w:rsid w:val="00B95363"/>
    <w:rsid w:val="00B96337"/>
    <w:rsid w:val="00B96562"/>
    <w:rsid w:val="00B969EF"/>
    <w:rsid w:val="00B96C71"/>
    <w:rsid w:val="00B96C95"/>
    <w:rsid w:val="00B96F42"/>
    <w:rsid w:val="00B97154"/>
    <w:rsid w:val="00B975BB"/>
    <w:rsid w:val="00B97697"/>
    <w:rsid w:val="00B97B1D"/>
    <w:rsid w:val="00B97F28"/>
    <w:rsid w:val="00B97F3B"/>
    <w:rsid w:val="00BA0198"/>
    <w:rsid w:val="00BA0511"/>
    <w:rsid w:val="00BA0684"/>
    <w:rsid w:val="00BA0C2F"/>
    <w:rsid w:val="00BA0EA1"/>
    <w:rsid w:val="00BA1005"/>
    <w:rsid w:val="00BA1037"/>
    <w:rsid w:val="00BA1472"/>
    <w:rsid w:val="00BA16F6"/>
    <w:rsid w:val="00BA1A68"/>
    <w:rsid w:val="00BA1CFD"/>
    <w:rsid w:val="00BA265C"/>
    <w:rsid w:val="00BA2961"/>
    <w:rsid w:val="00BA2C87"/>
    <w:rsid w:val="00BA2F91"/>
    <w:rsid w:val="00BA30B2"/>
    <w:rsid w:val="00BA320A"/>
    <w:rsid w:val="00BA3226"/>
    <w:rsid w:val="00BA361E"/>
    <w:rsid w:val="00BA3E49"/>
    <w:rsid w:val="00BA3EFE"/>
    <w:rsid w:val="00BA43CE"/>
    <w:rsid w:val="00BA487F"/>
    <w:rsid w:val="00BA4DD6"/>
    <w:rsid w:val="00BA5343"/>
    <w:rsid w:val="00BA57F9"/>
    <w:rsid w:val="00BA584F"/>
    <w:rsid w:val="00BA62E7"/>
    <w:rsid w:val="00BA63A0"/>
    <w:rsid w:val="00BA6AF3"/>
    <w:rsid w:val="00BA6B1D"/>
    <w:rsid w:val="00BA6D7A"/>
    <w:rsid w:val="00BA6F24"/>
    <w:rsid w:val="00BA6FF5"/>
    <w:rsid w:val="00BA70E4"/>
    <w:rsid w:val="00BA7D84"/>
    <w:rsid w:val="00BA7E5C"/>
    <w:rsid w:val="00BB009D"/>
    <w:rsid w:val="00BB1403"/>
    <w:rsid w:val="00BB206E"/>
    <w:rsid w:val="00BB2364"/>
    <w:rsid w:val="00BB2A5A"/>
    <w:rsid w:val="00BB2D85"/>
    <w:rsid w:val="00BB2F57"/>
    <w:rsid w:val="00BB316E"/>
    <w:rsid w:val="00BB3790"/>
    <w:rsid w:val="00BB3DEF"/>
    <w:rsid w:val="00BB3F5E"/>
    <w:rsid w:val="00BB4013"/>
    <w:rsid w:val="00BB497A"/>
    <w:rsid w:val="00BB49EF"/>
    <w:rsid w:val="00BB4AA7"/>
    <w:rsid w:val="00BB4B52"/>
    <w:rsid w:val="00BB4CAB"/>
    <w:rsid w:val="00BB4EAC"/>
    <w:rsid w:val="00BB4EAF"/>
    <w:rsid w:val="00BB53BC"/>
    <w:rsid w:val="00BB59C5"/>
    <w:rsid w:val="00BB6523"/>
    <w:rsid w:val="00BB67EE"/>
    <w:rsid w:val="00BB6EA1"/>
    <w:rsid w:val="00BB7821"/>
    <w:rsid w:val="00BB78E2"/>
    <w:rsid w:val="00BB7E7A"/>
    <w:rsid w:val="00BB7F73"/>
    <w:rsid w:val="00BC02E2"/>
    <w:rsid w:val="00BC0808"/>
    <w:rsid w:val="00BC082C"/>
    <w:rsid w:val="00BC0BCC"/>
    <w:rsid w:val="00BC0E2F"/>
    <w:rsid w:val="00BC10BE"/>
    <w:rsid w:val="00BC11EE"/>
    <w:rsid w:val="00BC14D7"/>
    <w:rsid w:val="00BC15C3"/>
    <w:rsid w:val="00BC1660"/>
    <w:rsid w:val="00BC1672"/>
    <w:rsid w:val="00BC2804"/>
    <w:rsid w:val="00BC28A0"/>
    <w:rsid w:val="00BC2C79"/>
    <w:rsid w:val="00BC2E60"/>
    <w:rsid w:val="00BC2F5C"/>
    <w:rsid w:val="00BC3003"/>
    <w:rsid w:val="00BC3700"/>
    <w:rsid w:val="00BC3715"/>
    <w:rsid w:val="00BC4178"/>
    <w:rsid w:val="00BC418B"/>
    <w:rsid w:val="00BC4576"/>
    <w:rsid w:val="00BC4703"/>
    <w:rsid w:val="00BC4871"/>
    <w:rsid w:val="00BC488F"/>
    <w:rsid w:val="00BC4913"/>
    <w:rsid w:val="00BC4997"/>
    <w:rsid w:val="00BC5482"/>
    <w:rsid w:val="00BC58CC"/>
    <w:rsid w:val="00BC599E"/>
    <w:rsid w:val="00BC5B47"/>
    <w:rsid w:val="00BC5E94"/>
    <w:rsid w:val="00BC72CF"/>
    <w:rsid w:val="00BC73DC"/>
    <w:rsid w:val="00BC745D"/>
    <w:rsid w:val="00BC753A"/>
    <w:rsid w:val="00BD008F"/>
    <w:rsid w:val="00BD0234"/>
    <w:rsid w:val="00BD0431"/>
    <w:rsid w:val="00BD0B60"/>
    <w:rsid w:val="00BD14A6"/>
    <w:rsid w:val="00BD1586"/>
    <w:rsid w:val="00BD17AA"/>
    <w:rsid w:val="00BD1EF6"/>
    <w:rsid w:val="00BD2101"/>
    <w:rsid w:val="00BD24EC"/>
    <w:rsid w:val="00BD2F86"/>
    <w:rsid w:val="00BD30D0"/>
    <w:rsid w:val="00BD31FA"/>
    <w:rsid w:val="00BD361C"/>
    <w:rsid w:val="00BD3898"/>
    <w:rsid w:val="00BD4A4A"/>
    <w:rsid w:val="00BD4AF9"/>
    <w:rsid w:val="00BD4EC0"/>
    <w:rsid w:val="00BD5355"/>
    <w:rsid w:val="00BD564D"/>
    <w:rsid w:val="00BD5941"/>
    <w:rsid w:val="00BD5973"/>
    <w:rsid w:val="00BD5A7B"/>
    <w:rsid w:val="00BD5CCB"/>
    <w:rsid w:val="00BD6654"/>
    <w:rsid w:val="00BD67EF"/>
    <w:rsid w:val="00BD6BB8"/>
    <w:rsid w:val="00BD72C2"/>
    <w:rsid w:val="00BD75BB"/>
    <w:rsid w:val="00BD79FF"/>
    <w:rsid w:val="00BD7C5A"/>
    <w:rsid w:val="00BE0197"/>
    <w:rsid w:val="00BE0825"/>
    <w:rsid w:val="00BE0EB5"/>
    <w:rsid w:val="00BE252E"/>
    <w:rsid w:val="00BE25DE"/>
    <w:rsid w:val="00BE2705"/>
    <w:rsid w:val="00BE279D"/>
    <w:rsid w:val="00BE2C47"/>
    <w:rsid w:val="00BE2D86"/>
    <w:rsid w:val="00BE2F23"/>
    <w:rsid w:val="00BE31F7"/>
    <w:rsid w:val="00BE32C0"/>
    <w:rsid w:val="00BE337A"/>
    <w:rsid w:val="00BE33C7"/>
    <w:rsid w:val="00BE4C5B"/>
    <w:rsid w:val="00BE5176"/>
    <w:rsid w:val="00BE579F"/>
    <w:rsid w:val="00BE5B63"/>
    <w:rsid w:val="00BE607B"/>
    <w:rsid w:val="00BE6259"/>
    <w:rsid w:val="00BE62CB"/>
    <w:rsid w:val="00BE6AE0"/>
    <w:rsid w:val="00BE6C82"/>
    <w:rsid w:val="00BE6D26"/>
    <w:rsid w:val="00BE70DA"/>
    <w:rsid w:val="00BE73F4"/>
    <w:rsid w:val="00BE750A"/>
    <w:rsid w:val="00BE782E"/>
    <w:rsid w:val="00BE7845"/>
    <w:rsid w:val="00BE7CA3"/>
    <w:rsid w:val="00BE7CF9"/>
    <w:rsid w:val="00BE7DBD"/>
    <w:rsid w:val="00BF01D5"/>
    <w:rsid w:val="00BF01F0"/>
    <w:rsid w:val="00BF04A7"/>
    <w:rsid w:val="00BF09AB"/>
    <w:rsid w:val="00BF0BEA"/>
    <w:rsid w:val="00BF0E55"/>
    <w:rsid w:val="00BF0FD5"/>
    <w:rsid w:val="00BF148B"/>
    <w:rsid w:val="00BF149C"/>
    <w:rsid w:val="00BF1DB2"/>
    <w:rsid w:val="00BF23DC"/>
    <w:rsid w:val="00BF3221"/>
    <w:rsid w:val="00BF3D51"/>
    <w:rsid w:val="00BF4102"/>
    <w:rsid w:val="00BF437E"/>
    <w:rsid w:val="00BF4415"/>
    <w:rsid w:val="00BF4680"/>
    <w:rsid w:val="00BF4832"/>
    <w:rsid w:val="00BF48BA"/>
    <w:rsid w:val="00BF4A01"/>
    <w:rsid w:val="00BF5401"/>
    <w:rsid w:val="00BF57BC"/>
    <w:rsid w:val="00BF5871"/>
    <w:rsid w:val="00BF5F6C"/>
    <w:rsid w:val="00BF60D0"/>
    <w:rsid w:val="00BF611C"/>
    <w:rsid w:val="00BF652E"/>
    <w:rsid w:val="00BF6652"/>
    <w:rsid w:val="00BF6A6D"/>
    <w:rsid w:val="00BF7346"/>
    <w:rsid w:val="00BF7BB7"/>
    <w:rsid w:val="00BF7F55"/>
    <w:rsid w:val="00C00095"/>
    <w:rsid w:val="00C00325"/>
    <w:rsid w:val="00C005ED"/>
    <w:rsid w:val="00C00891"/>
    <w:rsid w:val="00C00BEA"/>
    <w:rsid w:val="00C010B4"/>
    <w:rsid w:val="00C01142"/>
    <w:rsid w:val="00C013B3"/>
    <w:rsid w:val="00C01510"/>
    <w:rsid w:val="00C019D7"/>
    <w:rsid w:val="00C020CC"/>
    <w:rsid w:val="00C021D6"/>
    <w:rsid w:val="00C02263"/>
    <w:rsid w:val="00C02300"/>
    <w:rsid w:val="00C02938"/>
    <w:rsid w:val="00C030AD"/>
    <w:rsid w:val="00C031F8"/>
    <w:rsid w:val="00C035C6"/>
    <w:rsid w:val="00C04421"/>
    <w:rsid w:val="00C0485A"/>
    <w:rsid w:val="00C04A0E"/>
    <w:rsid w:val="00C04A30"/>
    <w:rsid w:val="00C04B00"/>
    <w:rsid w:val="00C05054"/>
    <w:rsid w:val="00C05F2C"/>
    <w:rsid w:val="00C06346"/>
    <w:rsid w:val="00C066B2"/>
    <w:rsid w:val="00C067C8"/>
    <w:rsid w:val="00C06898"/>
    <w:rsid w:val="00C06B15"/>
    <w:rsid w:val="00C06F0A"/>
    <w:rsid w:val="00C070DB"/>
    <w:rsid w:val="00C0778D"/>
    <w:rsid w:val="00C0792E"/>
    <w:rsid w:val="00C07F90"/>
    <w:rsid w:val="00C106D8"/>
    <w:rsid w:val="00C10AA0"/>
    <w:rsid w:val="00C10C79"/>
    <w:rsid w:val="00C11019"/>
    <w:rsid w:val="00C11584"/>
    <w:rsid w:val="00C11A9C"/>
    <w:rsid w:val="00C12642"/>
    <w:rsid w:val="00C12778"/>
    <w:rsid w:val="00C129AD"/>
    <w:rsid w:val="00C12B18"/>
    <w:rsid w:val="00C131D9"/>
    <w:rsid w:val="00C1323A"/>
    <w:rsid w:val="00C134D1"/>
    <w:rsid w:val="00C142B3"/>
    <w:rsid w:val="00C14F32"/>
    <w:rsid w:val="00C14FB4"/>
    <w:rsid w:val="00C158E2"/>
    <w:rsid w:val="00C15AC9"/>
    <w:rsid w:val="00C15BDB"/>
    <w:rsid w:val="00C15E0C"/>
    <w:rsid w:val="00C15F2E"/>
    <w:rsid w:val="00C1620C"/>
    <w:rsid w:val="00C163D2"/>
    <w:rsid w:val="00C16464"/>
    <w:rsid w:val="00C16E0C"/>
    <w:rsid w:val="00C16F87"/>
    <w:rsid w:val="00C1708E"/>
    <w:rsid w:val="00C17133"/>
    <w:rsid w:val="00C17A5C"/>
    <w:rsid w:val="00C17DFE"/>
    <w:rsid w:val="00C17EFD"/>
    <w:rsid w:val="00C204EF"/>
    <w:rsid w:val="00C20FC5"/>
    <w:rsid w:val="00C211F5"/>
    <w:rsid w:val="00C217EC"/>
    <w:rsid w:val="00C21D16"/>
    <w:rsid w:val="00C21D48"/>
    <w:rsid w:val="00C21E1F"/>
    <w:rsid w:val="00C220EC"/>
    <w:rsid w:val="00C222FF"/>
    <w:rsid w:val="00C2263A"/>
    <w:rsid w:val="00C226CD"/>
    <w:rsid w:val="00C2287E"/>
    <w:rsid w:val="00C22973"/>
    <w:rsid w:val="00C23239"/>
    <w:rsid w:val="00C23C5E"/>
    <w:rsid w:val="00C240EE"/>
    <w:rsid w:val="00C240F6"/>
    <w:rsid w:val="00C244C5"/>
    <w:rsid w:val="00C2491D"/>
    <w:rsid w:val="00C249D3"/>
    <w:rsid w:val="00C24B9B"/>
    <w:rsid w:val="00C24C16"/>
    <w:rsid w:val="00C25AE4"/>
    <w:rsid w:val="00C26839"/>
    <w:rsid w:val="00C26A9B"/>
    <w:rsid w:val="00C27120"/>
    <w:rsid w:val="00C2760D"/>
    <w:rsid w:val="00C277D0"/>
    <w:rsid w:val="00C2780F"/>
    <w:rsid w:val="00C27B1B"/>
    <w:rsid w:val="00C27D98"/>
    <w:rsid w:val="00C27E57"/>
    <w:rsid w:val="00C27EF9"/>
    <w:rsid w:val="00C3014D"/>
    <w:rsid w:val="00C30373"/>
    <w:rsid w:val="00C30732"/>
    <w:rsid w:val="00C30A31"/>
    <w:rsid w:val="00C30A41"/>
    <w:rsid w:val="00C30AC7"/>
    <w:rsid w:val="00C3125A"/>
    <w:rsid w:val="00C31350"/>
    <w:rsid w:val="00C3179F"/>
    <w:rsid w:val="00C31821"/>
    <w:rsid w:val="00C31D51"/>
    <w:rsid w:val="00C31E07"/>
    <w:rsid w:val="00C32366"/>
    <w:rsid w:val="00C32419"/>
    <w:rsid w:val="00C3247D"/>
    <w:rsid w:val="00C327AE"/>
    <w:rsid w:val="00C32D00"/>
    <w:rsid w:val="00C3336D"/>
    <w:rsid w:val="00C340AF"/>
    <w:rsid w:val="00C34498"/>
    <w:rsid w:val="00C347DD"/>
    <w:rsid w:val="00C34C5D"/>
    <w:rsid w:val="00C34D53"/>
    <w:rsid w:val="00C34D65"/>
    <w:rsid w:val="00C359F3"/>
    <w:rsid w:val="00C35CC4"/>
    <w:rsid w:val="00C36259"/>
    <w:rsid w:val="00C3628F"/>
    <w:rsid w:val="00C36295"/>
    <w:rsid w:val="00C36506"/>
    <w:rsid w:val="00C367B7"/>
    <w:rsid w:val="00C370D8"/>
    <w:rsid w:val="00C3785D"/>
    <w:rsid w:val="00C37C64"/>
    <w:rsid w:val="00C37EB4"/>
    <w:rsid w:val="00C40020"/>
    <w:rsid w:val="00C401B1"/>
    <w:rsid w:val="00C40B61"/>
    <w:rsid w:val="00C40C9C"/>
    <w:rsid w:val="00C412F0"/>
    <w:rsid w:val="00C41872"/>
    <w:rsid w:val="00C41AB0"/>
    <w:rsid w:val="00C42128"/>
    <w:rsid w:val="00C42320"/>
    <w:rsid w:val="00C423CD"/>
    <w:rsid w:val="00C426D3"/>
    <w:rsid w:val="00C428D9"/>
    <w:rsid w:val="00C42A0C"/>
    <w:rsid w:val="00C42D2A"/>
    <w:rsid w:val="00C42D40"/>
    <w:rsid w:val="00C43033"/>
    <w:rsid w:val="00C432D6"/>
    <w:rsid w:val="00C437C8"/>
    <w:rsid w:val="00C439F1"/>
    <w:rsid w:val="00C43A2B"/>
    <w:rsid w:val="00C440FE"/>
    <w:rsid w:val="00C44AAC"/>
    <w:rsid w:val="00C44F3E"/>
    <w:rsid w:val="00C450F7"/>
    <w:rsid w:val="00C45403"/>
    <w:rsid w:val="00C456E7"/>
    <w:rsid w:val="00C4574A"/>
    <w:rsid w:val="00C45B7B"/>
    <w:rsid w:val="00C46020"/>
    <w:rsid w:val="00C46033"/>
    <w:rsid w:val="00C465E9"/>
    <w:rsid w:val="00C4687A"/>
    <w:rsid w:val="00C46EBB"/>
    <w:rsid w:val="00C471B1"/>
    <w:rsid w:val="00C47282"/>
    <w:rsid w:val="00C473FE"/>
    <w:rsid w:val="00C47665"/>
    <w:rsid w:val="00C47C02"/>
    <w:rsid w:val="00C47EE6"/>
    <w:rsid w:val="00C502E7"/>
    <w:rsid w:val="00C5089A"/>
    <w:rsid w:val="00C50B5E"/>
    <w:rsid w:val="00C50C4D"/>
    <w:rsid w:val="00C5111D"/>
    <w:rsid w:val="00C5142E"/>
    <w:rsid w:val="00C524EA"/>
    <w:rsid w:val="00C52BE2"/>
    <w:rsid w:val="00C52DEA"/>
    <w:rsid w:val="00C52EB5"/>
    <w:rsid w:val="00C52F96"/>
    <w:rsid w:val="00C53568"/>
    <w:rsid w:val="00C53618"/>
    <w:rsid w:val="00C538F8"/>
    <w:rsid w:val="00C53B59"/>
    <w:rsid w:val="00C53C60"/>
    <w:rsid w:val="00C53D46"/>
    <w:rsid w:val="00C53EC6"/>
    <w:rsid w:val="00C53F45"/>
    <w:rsid w:val="00C53F80"/>
    <w:rsid w:val="00C5466C"/>
    <w:rsid w:val="00C54CF8"/>
    <w:rsid w:val="00C55131"/>
    <w:rsid w:val="00C55135"/>
    <w:rsid w:val="00C556DB"/>
    <w:rsid w:val="00C55A32"/>
    <w:rsid w:val="00C563FB"/>
    <w:rsid w:val="00C56B46"/>
    <w:rsid w:val="00C56CD9"/>
    <w:rsid w:val="00C5721E"/>
    <w:rsid w:val="00C57486"/>
    <w:rsid w:val="00C578C7"/>
    <w:rsid w:val="00C57E13"/>
    <w:rsid w:val="00C57FE3"/>
    <w:rsid w:val="00C60FF0"/>
    <w:rsid w:val="00C613AD"/>
    <w:rsid w:val="00C61B9E"/>
    <w:rsid w:val="00C620BC"/>
    <w:rsid w:val="00C628FD"/>
    <w:rsid w:val="00C62986"/>
    <w:rsid w:val="00C62E21"/>
    <w:rsid w:val="00C62EDF"/>
    <w:rsid w:val="00C63D94"/>
    <w:rsid w:val="00C6405E"/>
    <w:rsid w:val="00C64133"/>
    <w:rsid w:val="00C647A4"/>
    <w:rsid w:val="00C64CDD"/>
    <w:rsid w:val="00C64E42"/>
    <w:rsid w:val="00C65099"/>
    <w:rsid w:val="00C650B3"/>
    <w:rsid w:val="00C65531"/>
    <w:rsid w:val="00C65A6A"/>
    <w:rsid w:val="00C65CDF"/>
    <w:rsid w:val="00C661E6"/>
    <w:rsid w:val="00C66213"/>
    <w:rsid w:val="00C6626C"/>
    <w:rsid w:val="00C66377"/>
    <w:rsid w:val="00C66476"/>
    <w:rsid w:val="00C66541"/>
    <w:rsid w:val="00C6694D"/>
    <w:rsid w:val="00C66C52"/>
    <w:rsid w:val="00C66CC9"/>
    <w:rsid w:val="00C66DBE"/>
    <w:rsid w:val="00C6704D"/>
    <w:rsid w:val="00C671C6"/>
    <w:rsid w:val="00C6782B"/>
    <w:rsid w:val="00C67FF1"/>
    <w:rsid w:val="00C70162"/>
    <w:rsid w:val="00C7075D"/>
    <w:rsid w:val="00C70B66"/>
    <w:rsid w:val="00C70E64"/>
    <w:rsid w:val="00C7216F"/>
    <w:rsid w:val="00C723C5"/>
    <w:rsid w:val="00C725A1"/>
    <w:rsid w:val="00C725BF"/>
    <w:rsid w:val="00C7261B"/>
    <w:rsid w:val="00C72851"/>
    <w:rsid w:val="00C72A1C"/>
    <w:rsid w:val="00C7398D"/>
    <w:rsid w:val="00C73F62"/>
    <w:rsid w:val="00C73FC2"/>
    <w:rsid w:val="00C74021"/>
    <w:rsid w:val="00C762AC"/>
    <w:rsid w:val="00C76558"/>
    <w:rsid w:val="00C76667"/>
    <w:rsid w:val="00C7670A"/>
    <w:rsid w:val="00C76E27"/>
    <w:rsid w:val="00C76E62"/>
    <w:rsid w:val="00C76F71"/>
    <w:rsid w:val="00C770A5"/>
    <w:rsid w:val="00C777FC"/>
    <w:rsid w:val="00C80177"/>
    <w:rsid w:val="00C808A9"/>
    <w:rsid w:val="00C8097A"/>
    <w:rsid w:val="00C809BE"/>
    <w:rsid w:val="00C80C21"/>
    <w:rsid w:val="00C81155"/>
    <w:rsid w:val="00C81346"/>
    <w:rsid w:val="00C81381"/>
    <w:rsid w:val="00C814C5"/>
    <w:rsid w:val="00C81992"/>
    <w:rsid w:val="00C81AA9"/>
    <w:rsid w:val="00C81EDA"/>
    <w:rsid w:val="00C81F39"/>
    <w:rsid w:val="00C82221"/>
    <w:rsid w:val="00C827CC"/>
    <w:rsid w:val="00C82807"/>
    <w:rsid w:val="00C82B37"/>
    <w:rsid w:val="00C83449"/>
    <w:rsid w:val="00C834B6"/>
    <w:rsid w:val="00C8373B"/>
    <w:rsid w:val="00C83AD1"/>
    <w:rsid w:val="00C83C86"/>
    <w:rsid w:val="00C846E3"/>
    <w:rsid w:val="00C84732"/>
    <w:rsid w:val="00C84C50"/>
    <w:rsid w:val="00C8503D"/>
    <w:rsid w:val="00C85B17"/>
    <w:rsid w:val="00C85B5D"/>
    <w:rsid w:val="00C85E0D"/>
    <w:rsid w:val="00C86052"/>
    <w:rsid w:val="00C863B3"/>
    <w:rsid w:val="00C86650"/>
    <w:rsid w:val="00C86759"/>
    <w:rsid w:val="00C86FED"/>
    <w:rsid w:val="00C87351"/>
    <w:rsid w:val="00C87653"/>
    <w:rsid w:val="00C879AF"/>
    <w:rsid w:val="00C87CB1"/>
    <w:rsid w:val="00C90067"/>
    <w:rsid w:val="00C90285"/>
    <w:rsid w:val="00C90612"/>
    <w:rsid w:val="00C90614"/>
    <w:rsid w:val="00C90787"/>
    <w:rsid w:val="00C90D97"/>
    <w:rsid w:val="00C9125C"/>
    <w:rsid w:val="00C912FC"/>
    <w:rsid w:val="00C918A1"/>
    <w:rsid w:val="00C921ED"/>
    <w:rsid w:val="00C923C5"/>
    <w:rsid w:val="00C92727"/>
    <w:rsid w:val="00C93375"/>
    <w:rsid w:val="00C937CB"/>
    <w:rsid w:val="00C9390B"/>
    <w:rsid w:val="00C939E4"/>
    <w:rsid w:val="00C93C61"/>
    <w:rsid w:val="00C943DD"/>
    <w:rsid w:val="00C94479"/>
    <w:rsid w:val="00C94492"/>
    <w:rsid w:val="00C94BEA"/>
    <w:rsid w:val="00C94C78"/>
    <w:rsid w:val="00C95117"/>
    <w:rsid w:val="00C9529A"/>
    <w:rsid w:val="00C95373"/>
    <w:rsid w:val="00C9579C"/>
    <w:rsid w:val="00C957BE"/>
    <w:rsid w:val="00C959B3"/>
    <w:rsid w:val="00C96BEC"/>
    <w:rsid w:val="00C97066"/>
    <w:rsid w:val="00C973AB"/>
    <w:rsid w:val="00C97750"/>
    <w:rsid w:val="00C977F8"/>
    <w:rsid w:val="00CA020C"/>
    <w:rsid w:val="00CA0D3A"/>
    <w:rsid w:val="00CA13C3"/>
    <w:rsid w:val="00CA386A"/>
    <w:rsid w:val="00CA3ADC"/>
    <w:rsid w:val="00CA3BF3"/>
    <w:rsid w:val="00CA3C32"/>
    <w:rsid w:val="00CA3D99"/>
    <w:rsid w:val="00CA3ED1"/>
    <w:rsid w:val="00CA4284"/>
    <w:rsid w:val="00CA4A11"/>
    <w:rsid w:val="00CA4A2D"/>
    <w:rsid w:val="00CA4A73"/>
    <w:rsid w:val="00CA4D97"/>
    <w:rsid w:val="00CA4E04"/>
    <w:rsid w:val="00CA555B"/>
    <w:rsid w:val="00CA57DF"/>
    <w:rsid w:val="00CA6A92"/>
    <w:rsid w:val="00CA6D0B"/>
    <w:rsid w:val="00CA6D38"/>
    <w:rsid w:val="00CA7224"/>
    <w:rsid w:val="00CA74DA"/>
    <w:rsid w:val="00CA75F1"/>
    <w:rsid w:val="00CA7671"/>
    <w:rsid w:val="00CA7E3B"/>
    <w:rsid w:val="00CB041E"/>
    <w:rsid w:val="00CB15D8"/>
    <w:rsid w:val="00CB18AC"/>
    <w:rsid w:val="00CB1CE0"/>
    <w:rsid w:val="00CB20F4"/>
    <w:rsid w:val="00CB23C6"/>
    <w:rsid w:val="00CB2503"/>
    <w:rsid w:val="00CB2D10"/>
    <w:rsid w:val="00CB3005"/>
    <w:rsid w:val="00CB3319"/>
    <w:rsid w:val="00CB3548"/>
    <w:rsid w:val="00CB3777"/>
    <w:rsid w:val="00CB3EEA"/>
    <w:rsid w:val="00CB4286"/>
    <w:rsid w:val="00CB4387"/>
    <w:rsid w:val="00CB4467"/>
    <w:rsid w:val="00CB45E1"/>
    <w:rsid w:val="00CB4B81"/>
    <w:rsid w:val="00CB58AA"/>
    <w:rsid w:val="00CB5CC9"/>
    <w:rsid w:val="00CB64D1"/>
    <w:rsid w:val="00CB692D"/>
    <w:rsid w:val="00CB6A77"/>
    <w:rsid w:val="00CB6A7D"/>
    <w:rsid w:val="00CB7322"/>
    <w:rsid w:val="00CC0039"/>
    <w:rsid w:val="00CC00E2"/>
    <w:rsid w:val="00CC10CE"/>
    <w:rsid w:val="00CC12B6"/>
    <w:rsid w:val="00CC1606"/>
    <w:rsid w:val="00CC1C4B"/>
    <w:rsid w:val="00CC1E7A"/>
    <w:rsid w:val="00CC252D"/>
    <w:rsid w:val="00CC2AC5"/>
    <w:rsid w:val="00CC2C10"/>
    <w:rsid w:val="00CC2C42"/>
    <w:rsid w:val="00CC2DB2"/>
    <w:rsid w:val="00CC36DA"/>
    <w:rsid w:val="00CC3801"/>
    <w:rsid w:val="00CC40E5"/>
    <w:rsid w:val="00CC4B4D"/>
    <w:rsid w:val="00CC5029"/>
    <w:rsid w:val="00CC5472"/>
    <w:rsid w:val="00CC5558"/>
    <w:rsid w:val="00CC57C9"/>
    <w:rsid w:val="00CC592E"/>
    <w:rsid w:val="00CC59B9"/>
    <w:rsid w:val="00CC5D57"/>
    <w:rsid w:val="00CC5E57"/>
    <w:rsid w:val="00CC62BA"/>
    <w:rsid w:val="00CC70D1"/>
    <w:rsid w:val="00CC729E"/>
    <w:rsid w:val="00CC7667"/>
    <w:rsid w:val="00CC7ADB"/>
    <w:rsid w:val="00CD0282"/>
    <w:rsid w:val="00CD0A82"/>
    <w:rsid w:val="00CD0D65"/>
    <w:rsid w:val="00CD1C04"/>
    <w:rsid w:val="00CD1DB0"/>
    <w:rsid w:val="00CD1F62"/>
    <w:rsid w:val="00CD20AF"/>
    <w:rsid w:val="00CD2248"/>
    <w:rsid w:val="00CD2477"/>
    <w:rsid w:val="00CD2773"/>
    <w:rsid w:val="00CD2E64"/>
    <w:rsid w:val="00CD3F82"/>
    <w:rsid w:val="00CD4205"/>
    <w:rsid w:val="00CD4522"/>
    <w:rsid w:val="00CD45EC"/>
    <w:rsid w:val="00CD46BE"/>
    <w:rsid w:val="00CD5342"/>
    <w:rsid w:val="00CD574C"/>
    <w:rsid w:val="00CD57C2"/>
    <w:rsid w:val="00CD72A8"/>
    <w:rsid w:val="00CD7797"/>
    <w:rsid w:val="00CD78FE"/>
    <w:rsid w:val="00CD7AAD"/>
    <w:rsid w:val="00CD7C04"/>
    <w:rsid w:val="00CD7C54"/>
    <w:rsid w:val="00CD7CD8"/>
    <w:rsid w:val="00CE004D"/>
    <w:rsid w:val="00CE02B2"/>
    <w:rsid w:val="00CE0A2C"/>
    <w:rsid w:val="00CE13E1"/>
    <w:rsid w:val="00CE1CF0"/>
    <w:rsid w:val="00CE1D91"/>
    <w:rsid w:val="00CE1EB3"/>
    <w:rsid w:val="00CE2257"/>
    <w:rsid w:val="00CE299A"/>
    <w:rsid w:val="00CE3066"/>
    <w:rsid w:val="00CE4139"/>
    <w:rsid w:val="00CE4429"/>
    <w:rsid w:val="00CE4688"/>
    <w:rsid w:val="00CE47FD"/>
    <w:rsid w:val="00CE50F2"/>
    <w:rsid w:val="00CE60D0"/>
    <w:rsid w:val="00CE619A"/>
    <w:rsid w:val="00CE6665"/>
    <w:rsid w:val="00CE69E9"/>
    <w:rsid w:val="00CE6A47"/>
    <w:rsid w:val="00CE6A74"/>
    <w:rsid w:val="00CE6B7D"/>
    <w:rsid w:val="00CE7151"/>
    <w:rsid w:val="00CE7174"/>
    <w:rsid w:val="00CE736B"/>
    <w:rsid w:val="00CE7502"/>
    <w:rsid w:val="00CE770E"/>
    <w:rsid w:val="00CE7D10"/>
    <w:rsid w:val="00CF00A2"/>
    <w:rsid w:val="00CF0576"/>
    <w:rsid w:val="00CF0947"/>
    <w:rsid w:val="00CF09ED"/>
    <w:rsid w:val="00CF0A3B"/>
    <w:rsid w:val="00CF117D"/>
    <w:rsid w:val="00CF1236"/>
    <w:rsid w:val="00CF130C"/>
    <w:rsid w:val="00CF14B7"/>
    <w:rsid w:val="00CF1D98"/>
    <w:rsid w:val="00CF1F02"/>
    <w:rsid w:val="00CF206F"/>
    <w:rsid w:val="00CF253F"/>
    <w:rsid w:val="00CF3168"/>
    <w:rsid w:val="00CF32FB"/>
    <w:rsid w:val="00CF340B"/>
    <w:rsid w:val="00CF379F"/>
    <w:rsid w:val="00CF37F9"/>
    <w:rsid w:val="00CF392B"/>
    <w:rsid w:val="00CF392D"/>
    <w:rsid w:val="00CF3A93"/>
    <w:rsid w:val="00CF3E25"/>
    <w:rsid w:val="00CF448A"/>
    <w:rsid w:val="00CF457A"/>
    <w:rsid w:val="00CF4776"/>
    <w:rsid w:val="00CF4A96"/>
    <w:rsid w:val="00CF56A2"/>
    <w:rsid w:val="00CF6159"/>
    <w:rsid w:val="00CF633A"/>
    <w:rsid w:val="00CF641F"/>
    <w:rsid w:val="00CF66C5"/>
    <w:rsid w:val="00CF6BF4"/>
    <w:rsid w:val="00CF76B7"/>
    <w:rsid w:val="00CF7F13"/>
    <w:rsid w:val="00D00073"/>
    <w:rsid w:val="00D00194"/>
    <w:rsid w:val="00D00254"/>
    <w:rsid w:val="00D00609"/>
    <w:rsid w:val="00D00F0E"/>
    <w:rsid w:val="00D0170F"/>
    <w:rsid w:val="00D017BF"/>
    <w:rsid w:val="00D02D45"/>
    <w:rsid w:val="00D02DC5"/>
    <w:rsid w:val="00D02E16"/>
    <w:rsid w:val="00D03075"/>
    <w:rsid w:val="00D03584"/>
    <w:rsid w:val="00D03B6B"/>
    <w:rsid w:val="00D04871"/>
    <w:rsid w:val="00D04FD5"/>
    <w:rsid w:val="00D053B9"/>
    <w:rsid w:val="00D05711"/>
    <w:rsid w:val="00D0571B"/>
    <w:rsid w:val="00D060A7"/>
    <w:rsid w:val="00D060CE"/>
    <w:rsid w:val="00D06390"/>
    <w:rsid w:val="00D063B6"/>
    <w:rsid w:val="00D06CCE"/>
    <w:rsid w:val="00D06D0E"/>
    <w:rsid w:val="00D07228"/>
    <w:rsid w:val="00D072D0"/>
    <w:rsid w:val="00D078F7"/>
    <w:rsid w:val="00D07DEC"/>
    <w:rsid w:val="00D10592"/>
    <w:rsid w:val="00D105AD"/>
    <w:rsid w:val="00D10948"/>
    <w:rsid w:val="00D10960"/>
    <w:rsid w:val="00D10E4B"/>
    <w:rsid w:val="00D10FD3"/>
    <w:rsid w:val="00D1118B"/>
    <w:rsid w:val="00D11619"/>
    <w:rsid w:val="00D118E2"/>
    <w:rsid w:val="00D11D77"/>
    <w:rsid w:val="00D13903"/>
    <w:rsid w:val="00D1393E"/>
    <w:rsid w:val="00D139FA"/>
    <w:rsid w:val="00D13A68"/>
    <w:rsid w:val="00D1419C"/>
    <w:rsid w:val="00D15273"/>
    <w:rsid w:val="00D1535E"/>
    <w:rsid w:val="00D15AD5"/>
    <w:rsid w:val="00D169A5"/>
    <w:rsid w:val="00D17BDD"/>
    <w:rsid w:val="00D205F7"/>
    <w:rsid w:val="00D206DD"/>
    <w:rsid w:val="00D20BC5"/>
    <w:rsid w:val="00D21320"/>
    <w:rsid w:val="00D2177B"/>
    <w:rsid w:val="00D2180D"/>
    <w:rsid w:val="00D21B18"/>
    <w:rsid w:val="00D21F7D"/>
    <w:rsid w:val="00D225F1"/>
    <w:rsid w:val="00D2268D"/>
    <w:rsid w:val="00D22792"/>
    <w:rsid w:val="00D22A2D"/>
    <w:rsid w:val="00D23AC6"/>
    <w:rsid w:val="00D23CF6"/>
    <w:rsid w:val="00D2482C"/>
    <w:rsid w:val="00D24E4B"/>
    <w:rsid w:val="00D24E9D"/>
    <w:rsid w:val="00D24F09"/>
    <w:rsid w:val="00D25067"/>
    <w:rsid w:val="00D254D5"/>
    <w:rsid w:val="00D25CD3"/>
    <w:rsid w:val="00D25DCC"/>
    <w:rsid w:val="00D25E4E"/>
    <w:rsid w:val="00D26280"/>
    <w:rsid w:val="00D26540"/>
    <w:rsid w:val="00D26AA2"/>
    <w:rsid w:val="00D26BBA"/>
    <w:rsid w:val="00D275AF"/>
    <w:rsid w:val="00D27644"/>
    <w:rsid w:val="00D27998"/>
    <w:rsid w:val="00D279B9"/>
    <w:rsid w:val="00D27D63"/>
    <w:rsid w:val="00D306BA"/>
    <w:rsid w:val="00D30877"/>
    <w:rsid w:val="00D30B15"/>
    <w:rsid w:val="00D3103F"/>
    <w:rsid w:val="00D31694"/>
    <w:rsid w:val="00D3199E"/>
    <w:rsid w:val="00D31C0D"/>
    <w:rsid w:val="00D320F9"/>
    <w:rsid w:val="00D3219D"/>
    <w:rsid w:val="00D32368"/>
    <w:rsid w:val="00D32404"/>
    <w:rsid w:val="00D32AD5"/>
    <w:rsid w:val="00D32E75"/>
    <w:rsid w:val="00D32FEC"/>
    <w:rsid w:val="00D333BD"/>
    <w:rsid w:val="00D33410"/>
    <w:rsid w:val="00D3418D"/>
    <w:rsid w:val="00D3468F"/>
    <w:rsid w:val="00D349F1"/>
    <w:rsid w:val="00D34CDC"/>
    <w:rsid w:val="00D351ED"/>
    <w:rsid w:val="00D35AFA"/>
    <w:rsid w:val="00D35C28"/>
    <w:rsid w:val="00D36078"/>
    <w:rsid w:val="00D3618D"/>
    <w:rsid w:val="00D364D0"/>
    <w:rsid w:val="00D36749"/>
    <w:rsid w:val="00D367CB"/>
    <w:rsid w:val="00D36827"/>
    <w:rsid w:val="00D36B28"/>
    <w:rsid w:val="00D36EB9"/>
    <w:rsid w:val="00D37300"/>
    <w:rsid w:val="00D37928"/>
    <w:rsid w:val="00D37C21"/>
    <w:rsid w:val="00D37DB6"/>
    <w:rsid w:val="00D400AF"/>
    <w:rsid w:val="00D4016D"/>
    <w:rsid w:val="00D4021E"/>
    <w:rsid w:val="00D40678"/>
    <w:rsid w:val="00D408C9"/>
    <w:rsid w:val="00D40DEC"/>
    <w:rsid w:val="00D4130D"/>
    <w:rsid w:val="00D41574"/>
    <w:rsid w:val="00D415BB"/>
    <w:rsid w:val="00D415D3"/>
    <w:rsid w:val="00D41844"/>
    <w:rsid w:val="00D41B52"/>
    <w:rsid w:val="00D41B9C"/>
    <w:rsid w:val="00D42527"/>
    <w:rsid w:val="00D425EC"/>
    <w:rsid w:val="00D42C9A"/>
    <w:rsid w:val="00D43252"/>
    <w:rsid w:val="00D43372"/>
    <w:rsid w:val="00D433F2"/>
    <w:rsid w:val="00D435E2"/>
    <w:rsid w:val="00D43735"/>
    <w:rsid w:val="00D43D8E"/>
    <w:rsid w:val="00D43DFC"/>
    <w:rsid w:val="00D43F6F"/>
    <w:rsid w:val="00D440F0"/>
    <w:rsid w:val="00D44F07"/>
    <w:rsid w:val="00D4506D"/>
    <w:rsid w:val="00D459AC"/>
    <w:rsid w:val="00D45C50"/>
    <w:rsid w:val="00D45C71"/>
    <w:rsid w:val="00D45DAA"/>
    <w:rsid w:val="00D46172"/>
    <w:rsid w:val="00D462BB"/>
    <w:rsid w:val="00D46624"/>
    <w:rsid w:val="00D467F7"/>
    <w:rsid w:val="00D46AF4"/>
    <w:rsid w:val="00D46EB2"/>
    <w:rsid w:val="00D474CC"/>
    <w:rsid w:val="00D475A3"/>
    <w:rsid w:val="00D47A2C"/>
    <w:rsid w:val="00D47F84"/>
    <w:rsid w:val="00D5012F"/>
    <w:rsid w:val="00D5031A"/>
    <w:rsid w:val="00D504A1"/>
    <w:rsid w:val="00D508CE"/>
    <w:rsid w:val="00D511F9"/>
    <w:rsid w:val="00D51B59"/>
    <w:rsid w:val="00D51C21"/>
    <w:rsid w:val="00D51D4A"/>
    <w:rsid w:val="00D5237E"/>
    <w:rsid w:val="00D5243D"/>
    <w:rsid w:val="00D52D24"/>
    <w:rsid w:val="00D52FBD"/>
    <w:rsid w:val="00D530E9"/>
    <w:rsid w:val="00D53291"/>
    <w:rsid w:val="00D5354F"/>
    <w:rsid w:val="00D53931"/>
    <w:rsid w:val="00D53B93"/>
    <w:rsid w:val="00D53E61"/>
    <w:rsid w:val="00D541B5"/>
    <w:rsid w:val="00D547F1"/>
    <w:rsid w:val="00D54DEB"/>
    <w:rsid w:val="00D54FC1"/>
    <w:rsid w:val="00D5542E"/>
    <w:rsid w:val="00D554B0"/>
    <w:rsid w:val="00D55588"/>
    <w:rsid w:val="00D55AC6"/>
    <w:rsid w:val="00D55CCE"/>
    <w:rsid w:val="00D55EA9"/>
    <w:rsid w:val="00D562BC"/>
    <w:rsid w:val="00D565BC"/>
    <w:rsid w:val="00D56B26"/>
    <w:rsid w:val="00D5702C"/>
    <w:rsid w:val="00D57A61"/>
    <w:rsid w:val="00D60A4C"/>
    <w:rsid w:val="00D613CE"/>
    <w:rsid w:val="00D61B68"/>
    <w:rsid w:val="00D621DC"/>
    <w:rsid w:val="00D623D0"/>
    <w:rsid w:val="00D624FA"/>
    <w:rsid w:val="00D626F0"/>
    <w:rsid w:val="00D62848"/>
    <w:rsid w:val="00D6312D"/>
    <w:rsid w:val="00D63A53"/>
    <w:rsid w:val="00D63EFF"/>
    <w:rsid w:val="00D640CB"/>
    <w:rsid w:val="00D64AE8"/>
    <w:rsid w:val="00D64B1E"/>
    <w:rsid w:val="00D64B2E"/>
    <w:rsid w:val="00D651C8"/>
    <w:rsid w:val="00D654D1"/>
    <w:rsid w:val="00D65571"/>
    <w:rsid w:val="00D65B65"/>
    <w:rsid w:val="00D65C09"/>
    <w:rsid w:val="00D6651A"/>
    <w:rsid w:val="00D6727E"/>
    <w:rsid w:val="00D67637"/>
    <w:rsid w:val="00D67DBB"/>
    <w:rsid w:val="00D67F89"/>
    <w:rsid w:val="00D70173"/>
    <w:rsid w:val="00D70696"/>
    <w:rsid w:val="00D709DD"/>
    <w:rsid w:val="00D70C72"/>
    <w:rsid w:val="00D70D11"/>
    <w:rsid w:val="00D70D8C"/>
    <w:rsid w:val="00D70DA5"/>
    <w:rsid w:val="00D70F83"/>
    <w:rsid w:val="00D716AC"/>
    <w:rsid w:val="00D71883"/>
    <w:rsid w:val="00D71E2A"/>
    <w:rsid w:val="00D7218A"/>
    <w:rsid w:val="00D7256A"/>
    <w:rsid w:val="00D72696"/>
    <w:rsid w:val="00D726ED"/>
    <w:rsid w:val="00D72986"/>
    <w:rsid w:val="00D72EF3"/>
    <w:rsid w:val="00D7304D"/>
    <w:rsid w:val="00D73087"/>
    <w:rsid w:val="00D7331F"/>
    <w:rsid w:val="00D73395"/>
    <w:rsid w:val="00D7339C"/>
    <w:rsid w:val="00D735FF"/>
    <w:rsid w:val="00D7375D"/>
    <w:rsid w:val="00D737B3"/>
    <w:rsid w:val="00D738A7"/>
    <w:rsid w:val="00D739A6"/>
    <w:rsid w:val="00D744E2"/>
    <w:rsid w:val="00D74529"/>
    <w:rsid w:val="00D746D2"/>
    <w:rsid w:val="00D74E1B"/>
    <w:rsid w:val="00D74F16"/>
    <w:rsid w:val="00D75187"/>
    <w:rsid w:val="00D751D1"/>
    <w:rsid w:val="00D75566"/>
    <w:rsid w:val="00D75BE3"/>
    <w:rsid w:val="00D76263"/>
    <w:rsid w:val="00D76325"/>
    <w:rsid w:val="00D766B6"/>
    <w:rsid w:val="00D76895"/>
    <w:rsid w:val="00D768CC"/>
    <w:rsid w:val="00D769C8"/>
    <w:rsid w:val="00D76A55"/>
    <w:rsid w:val="00D77134"/>
    <w:rsid w:val="00D7784A"/>
    <w:rsid w:val="00D77C5F"/>
    <w:rsid w:val="00D77F7A"/>
    <w:rsid w:val="00D77FB9"/>
    <w:rsid w:val="00D808D9"/>
    <w:rsid w:val="00D80D63"/>
    <w:rsid w:val="00D8114C"/>
    <w:rsid w:val="00D814D0"/>
    <w:rsid w:val="00D830B9"/>
    <w:rsid w:val="00D83577"/>
    <w:rsid w:val="00D83732"/>
    <w:rsid w:val="00D83BDA"/>
    <w:rsid w:val="00D848CC"/>
    <w:rsid w:val="00D85D84"/>
    <w:rsid w:val="00D860B5"/>
    <w:rsid w:val="00D8631D"/>
    <w:rsid w:val="00D86478"/>
    <w:rsid w:val="00D86542"/>
    <w:rsid w:val="00D8694E"/>
    <w:rsid w:val="00D86A1A"/>
    <w:rsid w:val="00D870F8"/>
    <w:rsid w:val="00D87831"/>
    <w:rsid w:val="00D87ED6"/>
    <w:rsid w:val="00D87FA2"/>
    <w:rsid w:val="00D90471"/>
    <w:rsid w:val="00D9055F"/>
    <w:rsid w:val="00D90CB3"/>
    <w:rsid w:val="00D90F92"/>
    <w:rsid w:val="00D91828"/>
    <w:rsid w:val="00D91AEE"/>
    <w:rsid w:val="00D91DBB"/>
    <w:rsid w:val="00D92665"/>
    <w:rsid w:val="00D9282F"/>
    <w:rsid w:val="00D936B6"/>
    <w:rsid w:val="00D93BA3"/>
    <w:rsid w:val="00D93C73"/>
    <w:rsid w:val="00D93D0C"/>
    <w:rsid w:val="00D93D50"/>
    <w:rsid w:val="00D93EC2"/>
    <w:rsid w:val="00D94120"/>
    <w:rsid w:val="00D943CD"/>
    <w:rsid w:val="00D944B5"/>
    <w:rsid w:val="00D9467B"/>
    <w:rsid w:val="00D946EA"/>
    <w:rsid w:val="00D94912"/>
    <w:rsid w:val="00D94D55"/>
    <w:rsid w:val="00D94DFD"/>
    <w:rsid w:val="00D94FFD"/>
    <w:rsid w:val="00D9543E"/>
    <w:rsid w:val="00D96B77"/>
    <w:rsid w:val="00D96E3E"/>
    <w:rsid w:val="00D96F4C"/>
    <w:rsid w:val="00D97978"/>
    <w:rsid w:val="00D979D6"/>
    <w:rsid w:val="00D979EC"/>
    <w:rsid w:val="00D97A00"/>
    <w:rsid w:val="00D97A14"/>
    <w:rsid w:val="00D97AA9"/>
    <w:rsid w:val="00D97FC8"/>
    <w:rsid w:val="00DA00FD"/>
    <w:rsid w:val="00DA025F"/>
    <w:rsid w:val="00DA03CE"/>
    <w:rsid w:val="00DA0429"/>
    <w:rsid w:val="00DA04E7"/>
    <w:rsid w:val="00DA059A"/>
    <w:rsid w:val="00DA1091"/>
    <w:rsid w:val="00DA14EE"/>
    <w:rsid w:val="00DA1524"/>
    <w:rsid w:val="00DA1855"/>
    <w:rsid w:val="00DA1961"/>
    <w:rsid w:val="00DA1BF9"/>
    <w:rsid w:val="00DA1E7B"/>
    <w:rsid w:val="00DA1FB4"/>
    <w:rsid w:val="00DA28DE"/>
    <w:rsid w:val="00DA2904"/>
    <w:rsid w:val="00DA2C31"/>
    <w:rsid w:val="00DA2DAC"/>
    <w:rsid w:val="00DA36F4"/>
    <w:rsid w:val="00DA37D7"/>
    <w:rsid w:val="00DA3987"/>
    <w:rsid w:val="00DA3B3C"/>
    <w:rsid w:val="00DA3E77"/>
    <w:rsid w:val="00DA4FF0"/>
    <w:rsid w:val="00DA54C3"/>
    <w:rsid w:val="00DA5F23"/>
    <w:rsid w:val="00DA5F72"/>
    <w:rsid w:val="00DA6120"/>
    <w:rsid w:val="00DA65BD"/>
    <w:rsid w:val="00DA663E"/>
    <w:rsid w:val="00DA666A"/>
    <w:rsid w:val="00DA6726"/>
    <w:rsid w:val="00DA6756"/>
    <w:rsid w:val="00DA6F19"/>
    <w:rsid w:val="00DA70DD"/>
    <w:rsid w:val="00DA787C"/>
    <w:rsid w:val="00DA7C31"/>
    <w:rsid w:val="00DA7CFA"/>
    <w:rsid w:val="00DA7D70"/>
    <w:rsid w:val="00DA7E73"/>
    <w:rsid w:val="00DA7FE3"/>
    <w:rsid w:val="00DB0159"/>
    <w:rsid w:val="00DB0E10"/>
    <w:rsid w:val="00DB1566"/>
    <w:rsid w:val="00DB16D5"/>
    <w:rsid w:val="00DB1851"/>
    <w:rsid w:val="00DB2020"/>
    <w:rsid w:val="00DB22B4"/>
    <w:rsid w:val="00DB2C8B"/>
    <w:rsid w:val="00DB3492"/>
    <w:rsid w:val="00DB353A"/>
    <w:rsid w:val="00DB3608"/>
    <w:rsid w:val="00DB398B"/>
    <w:rsid w:val="00DB39BD"/>
    <w:rsid w:val="00DB3AE6"/>
    <w:rsid w:val="00DB4B60"/>
    <w:rsid w:val="00DB4E0D"/>
    <w:rsid w:val="00DB4F40"/>
    <w:rsid w:val="00DB4F8F"/>
    <w:rsid w:val="00DB5266"/>
    <w:rsid w:val="00DB566B"/>
    <w:rsid w:val="00DB5FD0"/>
    <w:rsid w:val="00DB6625"/>
    <w:rsid w:val="00DB6BD7"/>
    <w:rsid w:val="00DB6D95"/>
    <w:rsid w:val="00DB76E2"/>
    <w:rsid w:val="00DB7762"/>
    <w:rsid w:val="00DB7C90"/>
    <w:rsid w:val="00DC0403"/>
    <w:rsid w:val="00DC08C8"/>
    <w:rsid w:val="00DC0D51"/>
    <w:rsid w:val="00DC1269"/>
    <w:rsid w:val="00DC1315"/>
    <w:rsid w:val="00DC1704"/>
    <w:rsid w:val="00DC17B3"/>
    <w:rsid w:val="00DC1875"/>
    <w:rsid w:val="00DC1A2B"/>
    <w:rsid w:val="00DC1AEB"/>
    <w:rsid w:val="00DC1E37"/>
    <w:rsid w:val="00DC1F09"/>
    <w:rsid w:val="00DC2727"/>
    <w:rsid w:val="00DC27B2"/>
    <w:rsid w:val="00DC2856"/>
    <w:rsid w:val="00DC28A8"/>
    <w:rsid w:val="00DC2921"/>
    <w:rsid w:val="00DC3178"/>
    <w:rsid w:val="00DC3279"/>
    <w:rsid w:val="00DC32C7"/>
    <w:rsid w:val="00DC402B"/>
    <w:rsid w:val="00DC4842"/>
    <w:rsid w:val="00DC4F3E"/>
    <w:rsid w:val="00DC50F9"/>
    <w:rsid w:val="00DC5254"/>
    <w:rsid w:val="00DC5E25"/>
    <w:rsid w:val="00DC66F7"/>
    <w:rsid w:val="00DC679F"/>
    <w:rsid w:val="00DC6800"/>
    <w:rsid w:val="00DC68CD"/>
    <w:rsid w:val="00DC6AFF"/>
    <w:rsid w:val="00DC6B4B"/>
    <w:rsid w:val="00DC6E43"/>
    <w:rsid w:val="00DC6FC4"/>
    <w:rsid w:val="00DC7F66"/>
    <w:rsid w:val="00DC7FDE"/>
    <w:rsid w:val="00DD01DF"/>
    <w:rsid w:val="00DD0280"/>
    <w:rsid w:val="00DD04B6"/>
    <w:rsid w:val="00DD04E8"/>
    <w:rsid w:val="00DD0BF5"/>
    <w:rsid w:val="00DD0D6F"/>
    <w:rsid w:val="00DD10EF"/>
    <w:rsid w:val="00DD12AF"/>
    <w:rsid w:val="00DD1F22"/>
    <w:rsid w:val="00DD2076"/>
    <w:rsid w:val="00DD21E1"/>
    <w:rsid w:val="00DD26FC"/>
    <w:rsid w:val="00DD28D6"/>
    <w:rsid w:val="00DD2E37"/>
    <w:rsid w:val="00DD33CE"/>
    <w:rsid w:val="00DD3DA5"/>
    <w:rsid w:val="00DD41C7"/>
    <w:rsid w:val="00DD41F4"/>
    <w:rsid w:val="00DD447B"/>
    <w:rsid w:val="00DD4718"/>
    <w:rsid w:val="00DD4BAA"/>
    <w:rsid w:val="00DD4E6A"/>
    <w:rsid w:val="00DD4E72"/>
    <w:rsid w:val="00DD4E86"/>
    <w:rsid w:val="00DD5410"/>
    <w:rsid w:val="00DD61D9"/>
    <w:rsid w:val="00DD69E3"/>
    <w:rsid w:val="00DD6A92"/>
    <w:rsid w:val="00DD6B00"/>
    <w:rsid w:val="00DD6B1E"/>
    <w:rsid w:val="00DD6BD4"/>
    <w:rsid w:val="00DD6F4D"/>
    <w:rsid w:val="00DD7390"/>
    <w:rsid w:val="00DD73E5"/>
    <w:rsid w:val="00DD7851"/>
    <w:rsid w:val="00DE03EE"/>
    <w:rsid w:val="00DE050E"/>
    <w:rsid w:val="00DE1924"/>
    <w:rsid w:val="00DE1E8C"/>
    <w:rsid w:val="00DE2122"/>
    <w:rsid w:val="00DE2A45"/>
    <w:rsid w:val="00DE2CC1"/>
    <w:rsid w:val="00DE3181"/>
    <w:rsid w:val="00DE41A0"/>
    <w:rsid w:val="00DE43C3"/>
    <w:rsid w:val="00DE4BC1"/>
    <w:rsid w:val="00DE4C50"/>
    <w:rsid w:val="00DE4E38"/>
    <w:rsid w:val="00DE57C9"/>
    <w:rsid w:val="00DE5C78"/>
    <w:rsid w:val="00DE5CE2"/>
    <w:rsid w:val="00DE5F9B"/>
    <w:rsid w:val="00DE62DF"/>
    <w:rsid w:val="00DE6480"/>
    <w:rsid w:val="00DE6555"/>
    <w:rsid w:val="00DE6B7C"/>
    <w:rsid w:val="00DE7ABD"/>
    <w:rsid w:val="00DF06B0"/>
    <w:rsid w:val="00DF12D3"/>
    <w:rsid w:val="00DF1892"/>
    <w:rsid w:val="00DF1C4A"/>
    <w:rsid w:val="00DF26E9"/>
    <w:rsid w:val="00DF27C3"/>
    <w:rsid w:val="00DF29F7"/>
    <w:rsid w:val="00DF2A19"/>
    <w:rsid w:val="00DF2EA7"/>
    <w:rsid w:val="00DF355C"/>
    <w:rsid w:val="00DF3634"/>
    <w:rsid w:val="00DF47B7"/>
    <w:rsid w:val="00DF4B4D"/>
    <w:rsid w:val="00DF4DA7"/>
    <w:rsid w:val="00DF50DA"/>
    <w:rsid w:val="00DF54A0"/>
    <w:rsid w:val="00DF559E"/>
    <w:rsid w:val="00DF562C"/>
    <w:rsid w:val="00DF57C0"/>
    <w:rsid w:val="00DF582E"/>
    <w:rsid w:val="00DF5B36"/>
    <w:rsid w:val="00DF5DC4"/>
    <w:rsid w:val="00DF615C"/>
    <w:rsid w:val="00DF61EE"/>
    <w:rsid w:val="00DF6601"/>
    <w:rsid w:val="00DF6613"/>
    <w:rsid w:val="00DF6960"/>
    <w:rsid w:val="00DF7277"/>
    <w:rsid w:val="00DF7927"/>
    <w:rsid w:val="00DF7D25"/>
    <w:rsid w:val="00DF7D4A"/>
    <w:rsid w:val="00E00001"/>
    <w:rsid w:val="00E0002A"/>
    <w:rsid w:val="00E007D0"/>
    <w:rsid w:val="00E00AD2"/>
    <w:rsid w:val="00E00CF3"/>
    <w:rsid w:val="00E01015"/>
    <w:rsid w:val="00E015B9"/>
    <w:rsid w:val="00E01ED5"/>
    <w:rsid w:val="00E021AE"/>
    <w:rsid w:val="00E0230F"/>
    <w:rsid w:val="00E027B0"/>
    <w:rsid w:val="00E02B4D"/>
    <w:rsid w:val="00E030F2"/>
    <w:rsid w:val="00E03180"/>
    <w:rsid w:val="00E032DD"/>
    <w:rsid w:val="00E03502"/>
    <w:rsid w:val="00E0366E"/>
    <w:rsid w:val="00E03E4C"/>
    <w:rsid w:val="00E0459B"/>
    <w:rsid w:val="00E04C7F"/>
    <w:rsid w:val="00E05A96"/>
    <w:rsid w:val="00E05EDD"/>
    <w:rsid w:val="00E06340"/>
    <w:rsid w:val="00E0665F"/>
    <w:rsid w:val="00E06A31"/>
    <w:rsid w:val="00E06AD5"/>
    <w:rsid w:val="00E06BEA"/>
    <w:rsid w:val="00E0760C"/>
    <w:rsid w:val="00E079BA"/>
    <w:rsid w:val="00E07A89"/>
    <w:rsid w:val="00E07AA8"/>
    <w:rsid w:val="00E10603"/>
    <w:rsid w:val="00E10932"/>
    <w:rsid w:val="00E10AB8"/>
    <w:rsid w:val="00E10B7F"/>
    <w:rsid w:val="00E10D50"/>
    <w:rsid w:val="00E1136C"/>
    <w:rsid w:val="00E1187E"/>
    <w:rsid w:val="00E120BC"/>
    <w:rsid w:val="00E12344"/>
    <w:rsid w:val="00E12357"/>
    <w:rsid w:val="00E127B7"/>
    <w:rsid w:val="00E12CB8"/>
    <w:rsid w:val="00E12CE4"/>
    <w:rsid w:val="00E12D66"/>
    <w:rsid w:val="00E13082"/>
    <w:rsid w:val="00E13620"/>
    <w:rsid w:val="00E13873"/>
    <w:rsid w:val="00E1490F"/>
    <w:rsid w:val="00E15325"/>
    <w:rsid w:val="00E158C8"/>
    <w:rsid w:val="00E158D1"/>
    <w:rsid w:val="00E15D67"/>
    <w:rsid w:val="00E16565"/>
    <w:rsid w:val="00E16847"/>
    <w:rsid w:val="00E16991"/>
    <w:rsid w:val="00E169BF"/>
    <w:rsid w:val="00E16B06"/>
    <w:rsid w:val="00E16F4C"/>
    <w:rsid w:val="00E171BE"/>
    <w:rsid w:val="00E176E3"/>
    <w:rsid w:val="00E17EA7"/>
    <w:rsid w:val="00E200E0"/>
    <w:rsid w:val="00E2034A"/>
    <w:rsid w:val="00E20452"/>
    <w:rsid w:val="00E20491"/>
    <w:rsid w:val="00E20524"/>
    <w:rsid w:val="00E2055F"/>
    <w:rsid w:val="00E207F6"/>
    <w:rsid w:val="00E2084B"/>
    <w:rsid w:val="00E20CD6"/>
    <w:rsid w:val="00E2130C"/>
    <w:rsid w:val="00E216C4"/>
    <w:rsid w:val="00E218A3"/>
    <w:rsid w:val="00E219C5"/>
    <w:rsid w:val="00E225BA"/>
    <w:rsid w:val="00E22CA2"/>
    <w:rsid w:val="00E22CB7"/>
    <w:rsid w:val="00E22D4B"/>
    <w:rsid w:val="00E2382F"/>
    <w:rsid w:val="00E23A88"/>
    <w:rsid w:val="00E24371"/>
    <w:rsid w:val="00E243BE"/>
    <w:rsid w:val="00E2446B"/>
    <w:rsid w:val="00E244F5"/>
    <w:rsid w:val="00E25AD3"/>
    <w:rsid w:val="00E25C67"/>
    <w:rsid w:val="00E25C7A"/>
    <w:rsid w:val="00E25D18"/>
    <w:rsid w:val="00E25FDC"/>
    <w:rsid w:val="00E25FE5"/>
    <w:rsid w:val="00E267C2"/>
    <w:rsid w:val="00E26F68"/>
    <w:rsid w:val="00E27033"/>
    <w:rsid w:val="00E270DE"/>
    <w:rsid w:val="00E27497"/>
    <w:rsid w:val="00E274AC"/>
    <w:rsid w:val="00E2775C"/>
    <w:rsid w:val="00E278E3"/>
    <w:rsid w:val="00E27926"/>
    <w:rsid w:val="00E27FD7"/>
    <w:rsid w:val="00E306D5"/>
    <w:rsid w:val="00E309E7"/>
    <w:rsid w:val="00E30ACD"/>
    <w:rsid w:val="00E30C52"/>
    <w:rsid w:val="00E31920"/>
    <w:rsid w:val="00E319B6"/>
    <w:rsid w:val="00E31B78"/>
    <w:rsid w:val="00E321F9"/>
    <w:rsid w:val="00E3240C"/>
    <w:rsid w:val="00E32438"/>
    <w:rsid w:val="00E329FD"/>
    <w:rsid w:val="00E32A5F"/>
    <w:rsid w:val="00E330F3"/>
    <w:rsid w:val="00E334B1"/>
    <w:rsid w:val="00E34257"/>
    <w:rsid w:val="00E34416"/>
    <w:rsid w:val="00E344C4"/>
    <w:rsid w:val="00E34520"/>
    <w:rsid w:val="00E3479A"/>
    <w:rsid w:val="00E34FCB"/>
    <w:rsid w:val="00E351F1"/>
    <w:rsid w:val="00E353E8"/>
    <w:rsid w:val="00E35432"/>
    <w:rsid w:val="00E3585E"/>
    <w:rsid w:val="00E35ED6"/>
    <w:rsid w:val="00E3653F"/>
    <w:rsid w:val="00E36569"/>
    <w:rsid w:val="00E36685"/>
    <w:rsid w:val="00E366C0"/>
    <w:rsid w:val="00E3671A"/>
    <w:rsid w:val="00E36DAB"/>
    <w:rsid w:val="00E3764D"/>
    <w:rsid w:val="00E379B8"/>
    <w:rsid w:val="00E37D51"/>
    <w:rsid w:val="00E37D8B"/>
    <w:rsid w:val="00E401A0"/>
    <w:rsid w:val="00E40785"/>
    <w:rsid w:val="00E40E0C"/>
    <w:rsid w:val="00E40E8F"/>
    <w:rsid w:val="00E4177B"/>
    <w:rsid w:val="00E417E7"/>
    <w:rsid w:val="00E41D07"/>
    <w:rsid w:val="00E4223D"/>
    <w:rsid w:val="00E422C1"/>
    <w:rsid w:val="00E4253E"/>
    <w:rsid w:val="00E42589"/>
    <w:rsid w:val="00E42785"/>
    <w:rsid w:val="00E428FB"/>
    <w:rsid w:val="00E42F86"/>
    <w:rsid w:val="00E42F92"/>
    <w:rsid w:val="00E43425"/>
    <w:rsid w:val="00E43786"/>
    <w:rsid w:val="00E44A98"/>
    <w:rsid w:val="00E44C7B"/>
    <w:rsid w:val="00E45641"/>
    <w:rsid w:val="00E4580C"/>
    <w:rsid w:val="00E45ADB"/>
    <w:rsid w:val="00E45CAA"/>
    <w:rsid w:val="00E45F0E"/>
    <w:rsid w:val="00E46468"/>
    <w:rsid w:val="00E466DD"/>
    <w:rsid w:val="00E46DC1"/>
    <w:rsid w:val="00E472BB"/>
    <w:rsid w:val="00E47383"/>
    <w:rsid w:val="00E47819"/>
    <w:rsid w:val="00E47A67"/>
    <w:rsid w:val="00E50A5D"/>
    <w:rsid w:val="00E50D70"/>
    <w:rsid w:val="00E51172"/>
    <w:rsid w:val="00E5151E"/>
    <w:rsid w:val="00E51782"/>
    <w:rsid w:val="00E52095"/>
    <w:rsid w:val="00E520B9"/>
    <w:rsid w:val="00E52588"/>
    <w:rsid w:val="00E528D0"/>
    <w:rsid w:val="00E52B21"/>
    <w:rsid w:val="00E52B79"/>
    <w:rsid w:val="00E52C5F"/>
    <w:rsid w:val="00E5313D"/>
    <w:rsid w:val="00E53989"/>
    <w:rsid w:val="00E53C68"/>
    <w:rsid w:val="00E5446B"/>
    <w:rsid w:val="00E54977"/>
    <w:rsid w:val="00E54F26"/>
    <w:rsid w:val="00E54F35"/>
    <w:rsid w:val="00E55330"/>
    <w:rsid w:val="00E556B0"/>
    <w:rsid w:val="00E558D2"/>
    <w:rsid w:val="00E56351"/>
    <w:rsid w:val="00E563B5"/>
    <w:rsid w:val="00E564ED"/>
    <w:rsid w:val="00E56A27"/>
    <w:rsid w:val="00E56CB3"/>
    <w:rsid w:val="00E57C4D"/>
    <w:rsid w:val="00E6023F"/>
    <w:rsid w:val="00E6103B"/>
    <w:rsid w:val="00E610F4"/>
    <w:rsid w:val="00E612C8"/>
    <w:rsid w:val="00E6134C"/>
    <w:rsid w:val="00E6157F"/>
    <w:rsid w:val="00E61BA8"/>
    <w:rsid w:val="00E62151"/>
    <w:rsid w:val="00E62361"/>
    <w:rsid w:val="00E629E5"/>
    <w:rsid w:val="00E62B1F"/>
    <w:rsid w:val="00E63320"/>
    <w:rsid w:val="00E63B57"/>
    <w:rsid w:val="00E63BDF"/>
    <w:rsid w:val="00E6426C"/>
    <w:rsid w:val="00E64789"/>
    <w:rsid w:val="00E64A5B"/>
    <w:rsid w:val="00E6525A"/>
    <w:rsid w:val="00E653D9"/>
    <w:rsid w:val="00E659D7"/>
    <w:rsid w:val="00E65ED5"/>
    <w:rsid w:val="00E66845"/>
    <w:rsid w:val="00E668E9"/>
    <w:rsid w:val="00E66C9A"/>
    <w:rsid w:val="00E67122"/>
    <w:rsid w:val="00E67355"/>
    <w:rsid w:val="00E67490"/>
    <w:rsid w:val="00E67C59"/>
    <w:rsid w:val="00E67FAE"/>
    <w:rsid w:val="00E71140"/>
    <w:rsid w:val="00E71A28"/>
    <w:rsid w:val="00E71BC5"/>
    <w:rsid w:val="00E71C4B"/>
    <w:rsid w:val="00E72040"/>
    <w:rsid w:val="00E721D3"/>
    <w:rsid w:val="00E72254"/>
    <w:rsid w:val="00E72BBF"/>
    <w:rsid w:val="00E73113"/>
    <w:rsid w:val="00E736CA"/>
    <w:rsid w:val="00E7395E"/>
    <w:rsid w:val="00E73D5E"/>
    <w:rsid w:val="00E7452A"/>
    <w:rsid w:val="00E74866"/>
    <w:rsid w:val="00E74DA6"/>
    <w:rsid w:val="00E75938"/>
    <w:rsid w:val="00E75AD7"/>
    <w:rsid w:val="00E75B4A"/>
    <w:rsid w:val="00E75C4C"/>
    <w:rsid w:val="00E76521"/>
    <w:rsid w:val="00E767D8"/>
    <w:rsid w:val="00E769F5"/>
    <w:rsid w:val="00E76CB6"/>
    <w:rsid w:val="00E76FFF"/>
    <w:rsid w:val="00E77165"/>
    <w:rsid w:val="00E77441"/>
    <w:rsid w:val="00E7794F"/>
    <w:rsid w:val="00E77C2C"/>
    <w:rsid w:val="00E80DF7"/>
    <w:rsid w:val="00E81016"/>
    <w:rsid w:val="00E81D44"/>
    <w:rsid w:val="00E8214D"/>
    <w:rsid w:val="00E8261A"/>
    <w:rsid w:val="00E82984"/>
    <w:rsid w:val="00E83032"/>
    <w:rsid w:val="00E83083"/>
    <w:rsid w:val="00E83279"/>
    <w:rsid w:val="00E83499"/>
    <w:rsid w:val="00E836F5"/>
    <w:rsid w:val="00E838EA"/>
    <w:rsid w:val="00E83DDA"/>
    <w:rsid w:val="00E843E8"/>
    <w:rsid w:val="00E846CC"/>
    <w:rsid w:val="00E84B4F"/>
    <w:rsid w:val="00E84E84"/>
    <w:rsid w:val="00E84F8A"/>
    <w:rsid w:val="00E85C58"/>
    <w:rsid w:val="00E85ED5"/>
    <w:rsid w:val="00E8601D"/>
    <w:rsid w:val="00E86395"/>
    <w:rsid w:val="00E86A7E"/>
    <w:rsid w:val="00E86CB6"/>
    <w:rsid w:val="00E86D89"/>
    <w:rsid w:val="00E8723E"/>
    <w:rsid w:val="00E87CB4"/>
    <w:rsid w:val="00E87D43"/>
    <w:rsid w:val="00E87D73"/>
    <w:rsid w:val="00E9002A"/>
    <w:rsid w:val="00E9038B"/>
    <w:rsid w:val="00E90597"/>
    <w:rsid w:val="00E90690"/>
    <w:rsid w:val="00E90AF5"/>
    <w:rsid w:val="00E90B1C"/>
    <w:rsid w:val="00E90E3C"/>
    <w:rsid w:val="00E90E9C"/>
    <w:rsid w:val="00E9137C"/>
    <w:rsid w:val="00E9167A"/>
    <w:rsid w:val="00E917EC"/>
    <w:rsid w:val="00E91C23"/>
    <w:rsid w:val="00E933D2"/>
    <w:rsid w:val="00E93668"/>
    <w:rsid w:val="00E9376F"/>
    <w:rsid w:val="00E9429E"/>
    <w:rsid w:val="00E9471A"/>
    <w:rsid w:val="00E94C7D"/>
    <w:rsid w:val="00E9557F"/>
    <w:rsid w:val="00E95FE6"/>
    <w:rsid w:val="00E96273"/>
    <w:rsid w:val="00E96D1A"/>
    <w:rsid w:val="00E974E1"/>
    <w:rsid w:val="00E97846"/>
    <w:rsid w:val="00EA0718"/>
    <w:rsid w:val="00EA0E7D"/>
    <w:rsid w:val="00EA13FD"/>
    <w:rsid w:val="00EA1D46"/>
    <w:rsid w:val="00EA1E06"/>
    <w:rsid w:val="00EA212C"/>
    <w:rsid w:val="00EA215E"/>
    <w:rsid w:val="00EA285C"/>
    <w:rsid w:val="00EA292A"/>
    <w:rsid w:val="00EA2DD1"/>
    <w:rsid w:val="00EA3200"/>
    <w:rsid w:val="00EA322E"/>
    <w:rsid w:val="00EA330A"/>
    <w:rsid w:val="00EA389C"/>
    <w:rsid w:val="00EA3B6C"/>
    <w:rsid w:val="00EA3BD1"/>
    <w:rsid w:val="00EA3D13"/>
    <w:rsid w:val="00EA4186"/>
    <w:rsid w:val="00EA4BD4"/>
    <w:rsid w:val="00EA4DFA"/>
    <w:rsid w:val="00EA4EB1"/>
    <w:rsid w:val="00EA52B8"/>
    <w:rsid w:val="00EA5455"/>
    <w:rsid w:val="00EA55D0"/>
    <w:rsid w:val="00EA5871"/>
    <w:rsid w:val="00EA5A68"/>
    <w:rsid w:val="00EA5AD4"/>
    <w:rsid w:val="00EA61C9"/>
    <w:rsid w:val="00EA6383"/>
    <w:rsid w:val="00EA6B23"/>
    <w:rsid w:val="00EA7303"/>
    <w:rsid w:val="00EA7B64"/>
    <w:rsid w:val="00EA7DFB"/>
    <w:rsid w:val="00EA7F89"/>
    <w:rsid w:val="00EB065A"/>
    <w:rsid w:val="00EB0758"/>
    <w:rsid w:val="00EB08B1"/>
    <w:rsid w:val="00EB12D5"/>
    <w:rsid w:val="00EB1671"/>
    <w:rsid w:val="00EB16A1"/>
    <w:rsid w:val="00EB1C66"/>
    <w:rsid w:val="00EB20BB"/>
    <w:rsid w:val="00EB24DC"/>
    <w:rsid w:val="00EB2A30"/>
    <w:rsid w:val="00EB2BCC"/>
    <w:rsid w:val="00EB2D4E"/>
    <w:rsid w:val="00EB3035"/>
    <w:rsid w:val="00EB3898"/>
    <w:rsid w:val="00EB396F"/>
    <w:rsid w:val="00EB399E"/>
    <w:rsid w:val="00EB3A02"/>
    <w:rsid w:val="00EB3BFB"/>
    <w:rsid w:val="00EB4217"/>
    <w:rsid w:val="00EB4A3A"/>
    <w:rsid w:val="00EB50BF"/>
    <w:rsid w:val="00EB56A8"/>
    <w:rsid w:val="00EB580B"/>
    <w:rsid w:val="00EB5BFE"/>
    <w:rsid w:val="00EB5C7D"/>
    <w:rsid w:val="00EB5CDC"/>
    <w:rsid w:val="00EB5F4F"/>
    <w:rsid w:val="00EB6BD7"/>
    <w:rsid w:val="00EB709D"/>
    <w:rsid w:val="00EB7105"/>
    <w:rsid w:val="00EB74A5"/>
    <w:rsid w:val="00EB755D"/>
    <w:rsid w:val="00EB76C9"/>
    <w:rsid w:val="00EB7709"/>
    <w:rsid w:val="00EB7831"/>
    <w:rsid w:val="00EB7935"/>
    <w:rsid w:val="00EB7B6E"/>
    <w:rsid w:val="00EB7C43"/>
    <w:rsid w:val="00EC0139"/>
    <w:rsid w:val="00EC0228"/>
    <w:rsid w:val="00EC058C"/>
    <w:rsid w:val="00EC0986"/>
    <w:rsid w:val="00EC0DF7"/>
    <w:rsid w:val="00EC121C"/>
    <w:rsid w:val="00EC128C"/>
    <w:rsid w:val="00EC13B9"/>
    <w:rsid w:val="00EC1DA2"/>
    <w:rsid w:val="00EC22F7"/>
    <w:rsid w:val="00EC3196"/>
    <w:rsid w:val="00EC3323"/>
    <w:rsid w:val="00EC3339"/>
    <w:rsid w:val="00EC3350"/>
    <w:rsid w:val="00EC3385"/>
    <w:rsid w:val="00EC34AC"/>
    <w:rsid w:val="00EC38E2"/>
    <w:rsid w:val="00EC3A81"/>
    <w:rsid w:val="00EC4022"/>
    <w:rsid w:val="00EC48DD"/>
    <w:rsid w:val="00EC4D29"/>
    <w:rsid w:val="00EC4DB7"/>
    <w:rsid w:val="00EC548D"/>
    <w:rsid w:val="00EC56F3"/>
    <w:rsid w:val="00EC5B78"/>
    <w:rsid w:val="00EC5B9F"/>
    <w:rsid w:val="00EC5D4B"/>
    <w:rsid w:val="00EC612D"/>
    <w:rsid w:val="00EC67FB"/>
    <w:rsid w:val="00EC682C"/>
    <w:rsid w:val="00EC6887"/>
    <w:rsid w:val="00EC6DAA"/>
    <w:rsid w:val="00EC7418"/>
    <w:rsid w:val="00EC773F"/>
    <w:rsid w:val="00EC7B7F"/>
    <w:rsid w:val="00EC7D3B"/>
    <w:rsid w:val="00EC7D69"/>
    <w:rsid w:val="00EC7F8C"/>
    <w:rsid w:val="00ED0483"/>
    <w:rsid w:val="00ED0C2D"/>
    <w:rsid w:val="00ED101F"/>
    <w:rsid w:val="00ED10F1"/>
    <w:rsid w:val="00ED1375"/>
    <w:rsid w:val="00ED1867"/>
    <w:rsid w:val="00ED1D8A"/>
    <w:rsid w:val="00ED20A7"/>
    <w:rsid w:val="00ED23A0"/>
    <w:rsid w:val="00ED27A9"/>
    <w:rsid w:val="00ED3164"/>
    <w:rsid w:val="00ED3174"/>
    <w:rsid w:val="00ED42B2"/>
    <w:rsid w:val="00ED497C"/>
    <w:rsid w:val="00ED4D81"/>
    <w:rsid w:val="00ED5D2F"/>
    <w:rsid w:val="00ED5D72"/>
    <w:rsid w:val="00ED618A"/>
    <w:rsid w:val="00ED6669"/>
    <w:rsid w:val="00ED6730"/>
    <w:rsid w:val="00ED6A01"/>
    <w:rsid w:val="00ED7051"/>
    <w:rsid w:val="00ED756F"/>
    <w:rsid w:val="00ED779E"/>
    <w:rsid w:val="00ED7B26"/>
    <w:rsid w:val="00EE0527"/>
    <w:rsid w:val="00EE0529"/>
    <w:rsid w:val="00EE0978"/>
    <w:rsid w:val="00EE0BA8"/>
    <w:rsid w:val="00EE0E74"/>
    <w:rsid w:val="00EE0E83"/>
    <w:rsid w:val="00EE0F5B"/>
    <w:rsid w:val="00EE100B"/>
    <w:rsid w:val="00EE128A"/>
    <w:rsid w:val="00EE1975"/>
    <w:rsid w:val="00EE1B21"/>
    <w:rsid w:val="00EE1BD7"/>
    <w:rsid w:val="00EE209D"/>
    <w:rsid w:val="00EE2D84"/>
    <w:rsid w:val="00EE32B9"/>
    <w:rsid w:val="00EE38AD"/>
    <w:rsid w:val="00EE3B88"/>
    <w:rsid w:val="00EE3CA0"/>
    <w:rsid w:val="00EE4464"/>
    <w:rsid w:val="00EE4880"/>
    <w:rsid w:val="00EE4C11"/>
    <w:rsid w:val="00EE5499"/>
    <w:rsid w:val="00EE5A59"/>
    <w:rsid w:val="00EE5CC5"/>
    <w:rsid w:val="00EE5CC8"/>
    <w:rsid w:val="00EE5D44"/>
    <w:rsid w:val="00EE5D92"/>
    <w:rsid w:val="00EE610B"/>
    <w:rsid w:val="00EE6248"/>
    <w:rsid w:val="00EE681E"/>
    <w:rsid w:val="00EE69A0"/>
    <w:rsid w:val="00EE6A07"/>
    <w:rsid w:val="00EE6D7C"/>
    <w:rsid w:val="00EE6E93"/>
    <w:rsid w:val="00EE714C"/>
    <w:rsid w:val="00EE730E"/>
    <w:rsid w:val="00EE760C"/>
    <w:rsid w:val="00EE7962"/>
    <w:rsid w:val="00EF025D"/>
    <w:rsid w:val="00EF03CD"/>
    <w:rsid w:val="00EF0E6F"/>
    <w:rsid w:val="00EF1387"/>
    <w:rsid w:val="00EF13C0"/>
    <w:rsid w:val="00EF13D6"/>
    <w:rsid w:val="00EF1F52"/>
    <w:rsid w:val="00EF215B"/>
    <w:rsid w:val="00EF2177"/>
    <w:rsid w:val="00EF245D"/>
    <w:rsid w:val="00EF2BDA"/>
    <w:rsid w:val="00EF2CF1"/>
    <w:rsid w:val="00EF2D39"/>
    <w:rsid w:val="00EF304B"/>
    <w:rsid w:val="00EF3473"/>
    <w:rsid w:val="00EF48E1"/>
    <w:rsid w:val="00EF4F0A"/>
    <w:rsid w:val="00EF557A"/>
    <w:rsid w:val="00EF56A4"/>
    <w:rsid w:val="00EF5727"/>
    <w:rsid w:val="00EF5B3F"/>
    <w:rsid w:val="00EF64F5"/>
    <w:rsid w:val="00EF667E"/>
    <w:rsid w:val="00EF67F0"/>
    <w:rsid w:val="00EF6AA9"/>
    <w:rsid w:val="00EF7240"/>
    <w:rsid w:val="00EF7B62"/>
    <w:rsid w:val="00EF7CF1"/>
    <w:rsid w:val="00EF7D3F"/>
    <w:rsid w:val="00F00201"/>
    <w:rsid w:val="00F00495"/>
    <w:rsid w:val="00F00679"/>
    <w:rsid w:val="00F007E9"/>
    <w:rsid w:val="00F01410"/>
    <w:rsid w:val="00F01524"/>
    <w:rsid w:val="00F01E4D"/>
    <w:rsid w:val="00F02A93"/>
    <w:rsid w:val="00F02C52"/>
    <w:rsid w:val="00F02CEF"/>
    <w:rsid w:val="00F02F12"/>
    <w:rsid w:val="00F0323F"/>
    <w:rsid w:val="00F0334C"/>
    <w:rsid w:val="00F0352F"/>
    <w:rsid w:val="00F03D07"/>
    <w:rsid w:val="00F04010"/>
    <w:rsid w:val="00F042E5"/>
    <w:rsid w:val="00F04BDC"/>
    <w:rsid w:val="00F04EA5"/>
    <w:rsid w:val="00F04F6C"/>
    <w:rsid w:val="00F05848"/>
    <w:rsid w:val="00F0596B"/>
    <w:rsid w:val="00F05BD7"/>
    <w:rsid w:val="00F0675A"/>
    <w:rsid w:val="00F07233"/>
    <w:rsid w:val="00F07549"/>
    <w:rsid w:val="00F07799"/>
    <w:rsid w:val="00F07BD8"/>
    <w:rsid w:val="00F07C8D"/>
    <w:rsid w:val="00F1090C"/>
    <w:rsid w:val="00F10E3D"/>
    <w:rsid w:val="00F112DE"/>
    <w:rsid w:val="00F11372"/>
    <w:rsid w:val="00F11D5F"/>
    <w:rsid w:val="00F125B5"/>
    <w:rsid w:val="00F1260E"/>
    <w:rsid w:val="00F1276E"/>
    <w:rsid w:val="00F129A5"/>
    <w:rsid w:val="00F129F7"/>
    <w:rsid w:val="00F1329F"/>
    <w:rsid w:val="00F13C5E"/>
    <w:rsid w:val="00F145F0"/>
    <w:rsid w:val="00F14A3D"/>
    <w:rsid w:val="00F1565A"/>
    <w:rsid w:val="00F15739"/>
    <w:rsid w:val="00F160AF"/>
    <w:rsid w:val="00F16113"/>
    <w:rsid w:val="00F16BA1"/>
    <w:rsid w:val="00F174A8"/>
    <w:rsid w:val="00F202AA"/>
    <w:rsid w:val="00F211EE"/>
    <w:rsid w:val="00F2140C"/>
    <w:rsid w:val="00F2152E"/>
    <w:rsid w:val="00F21A58"/>
    <w:rsid w:val="00F21C43"/>
    <w:rsid w:val="00F21ED9"/>
    <w:rsid w:val="00F222E7"/>
    <w:rsid w:val="00F2240C"/>
    <w:rsid w:val="00F224A1"/>
    <w:rsid w:val="00F23604"/>
    <w:rsid w:val="00F236CB"/>
    <w:rsid w:val="00F24516"/>
    <w:rsid w:val="00F246C9"/>
    <w:rsid w:val="00F24C55"/>
    <w:rsid w:val="00F24E1B"/>
    <w:rsid w:val="00F256A1"/>
    <w:rsid w:val="00F25761"/>
    <w:rsid w:val="00F264B1"/>
    <w:rsid w:val="00F26804"/>
    <w:rsid w:val="00F26B20"/>
    <w:rsid w:val="00F26B63"/>
    <w:rsid w:val="00F26C74"/>
    <w:rsid w:val="00F27061"/>
    <w:rsid w:val="00F27C25"/>
    <w:rsid w:val="00F306A2"/>
    <w:rsid w:val="00F306E3"/>
    <w:rsid w:val="00F30B45"/>
    <w:rsid w:val="00F30C07"/>
    <w:rsid w:val="00F31018"/>
    <w:rsid w:val="00F31D69"/>
    <w:rsid w:val="00F31F40"/>
    <w:rsid w:val="00F32C23"/>
    <w:rsid w:val="00F32E80"/>
    <w:rsid w:val="00F33275"/>
    <w:rsid w:val="00F33CC8"/>
    <w:rsid w:val="00F340C7"/>
    <w:rsid w:val="00F34ADC"/>
    <w:rsid w:val="00F34BBC"/>
    <w:rsid w:val="00F34F52"/>
    <w:rsid w:val="00F353DA"/>
    <w:rsid w:val="00F35542"/>
    <w:rsid w:val="00F35A49"/>
    <w:rsid w:val="00F35C12"/>
    <w:rsid w:val="00F35CF9"/>
    <w:rsid w:val="00F36059"/>
    <w:rsid w:val="00F36379"/>
    <w:rsid w:val="00F363B7"/>
    <w:rsid w:val="00F3646E"/>
    <w:rsid w:val="00F3664D"/>
    <w:rsid w:val="00F36826"/>
    <w:rsid w:val="00F36943"/>
    <w:rsid w:val="00F37047"/>
    <w:rsid w:val="00F37315"/>
    <w:rsid w:val="00F377A7"/>
    <w:rsid w:val="00F37BBE"/>
    <w:rsid w:val="00F37DEE"/>
    <w:rsid w:val="00F37E5A"/>
    <w:rsid w:val="00F4018A"/>
    <w:rsid w:val="00F40692"/>
    <w:rsid w:val="00F4070A"/>
    <w:rsid w:val="00F4098C"/>
    <w:rsid w:val="00F409A8"/>
    <w:rsid w:val="00F40BD4"/>
    <w:rsid w:val="00F40E0A"/>
    <w:rsid w:val="00F41DA5"/>
    <w:rsid w:val="00F41DD7"/>
    <w:rsid w:val="00F4236C"/>
    <w:rsid w:val="00F42505"/>
    <w:rsid w:val="00F42AD1"/>
    <w:rsid w:val="00F43219"/>
    <w:rsid w:val="00F4322E"/>
    <w:rsid w:val="00F4333F"/>
    <w:rsid w:val="00F4351C"/>
    <w:rsid w:val="00F43751"/>
    <w:rsid w:val="00F4399F"/>
    <w:rsid w:val="00F43B0D"/>
    <w:rsid w:val="00F44688"/>
    <w:rsid w:val="00F44699"/>
    <w:rsid w:val="00F448E2"/>
    <w:rsid w:val="00F44AC9"/>
    <w:rsid w:val="00F44AD8"/>
    <w:rsid w:val="00F45645"/>
    <w:rsid w:val="00F45B75"/>
    <w:rsid w:val="00F45D6E"/>
    <w:rsid w:val="00F45F2F"/>
    <w:rsid w:val="00F46309"/>
    <w:rsid w:val="00F465BE"/>
    <w:rsid w:val="00F4674A"/>
    <w:rsid w:val="00F468CE"/>
    <w:rsid w:val="00F46AA8"/>
    <w:rsid w:val="00F46DD1"/>
    <w:rsid w:val="00F46EFB"/>
    <w:rsid w:val="00F47C41"/>
    <w:rsid w:val="00F5017F"/>
    <w:rsid w:val="00F5060B"/>
    <w:rsid w:val="00F50D4F"/>
    <w:rsid w:val="00F50E7D"/>
    <w:rsid w:val="00F51097"/>
    <w:rsid w:val="00F51BD4"/>
    <w:rsid w:val="00F51F16"/>
    <w:rsid w:val="00F526E5"/>
    <w:rsid w:val="00F5274F"/>
    <w:rsid w:val="00F53040"/>
    <w:rsid w:val="00F53DBB"/>
    <w:rsid w:val="00F53E1B"/>
    <w:rsid w:val="00F53EE0"/>
    <w:rsid w:val="00F5422C"/>
    <w:rsid w:val="00F542F1"/>
    <w:rsid w:val="00F549A5"/>
    <w:rsid w:val="00F54C16"/>
    <w:rsid w:val="00F55B6F"/>
    <w:rsid w:val="00F56122"/>
    <w:rsid w:val="00F562D0"/>
    <w:rsid w:val="00F56481"/>
    <w:rsid w:val="00F56B08"/>
    <w:rsid w:val="00F56B0C"/>
    <w:rsid w:val="00F56B76"/>
    <w:rsid w:val="00F56BFF"/>
    <w:rsid w:val="00F56D1F"/>
    <w:rsid w:val="00F56DCA"/>
    <w:rsid w:val="00F56F1C"/>
    <w:rsid w:val="00F5730F"/>
    <w:rsid w:val="00F5750B"/>
    <w:rsid w:val="00F575EA"/>
    <w:rsid w:val="00F57815"/>
    <w:rsid w:val="00F57C5C"/>
    <w:rsid w:val="00F57CF9"/>
    <w:rsid w:val="00F60800"/>
    <w:rsid w:val="00F60AB3"/>
    <w:rsid w:val="00F60B1E"/>
    <w:rsid w:val="00F60B61"/>
    <w:rsid w:val="00F60F39"/>
    <w:rsid w:val="00F61086"/>
    <w:rsid w:val="00F612D8"/>
    <w:rsid w:val="00F612E6"/>
    <w:rsid w:val="00F613B4"/>
    <w:rsid w:val="00F614AB"/>
    <w:rsid w:val="00F615B5"/>
    <w:rsid w:val="00F61D35"/>
    <w:rsid w:val="00F6200B"/>
    <w:rsid w:val="00F627B0"/>
    <w:rsid w:val="00F62A7C"/>
    <w:rsid w:val="00F62AC8"/>
    <w:rsid w:val="00F62AEE"/>
    <w:rsid w:val="00F62CA4"/>
    <w:rsid w:val="00F62D74"/>
    <w:rsid w:val="00F62EC7"/>
    <w:rsid w:val="00F6381A"/>
    <w:rsid w:val="00F63FF9"/>
    <w:rsid w:val="00F642D7"/>
    <w:rsid w:val="00F64346"/>
    <w:rsid w:val="00F643C8"/>
    <w:rsid w:val="00F644D1"/>
    <w:rsid w:val="00F64525"/>
    <w:rsid w:val="00F646C4"/>
    <w:rsid w:val="00F6484A"/>
    <w:rsid w:val="00F649FE"/>
    <w:rsid w:val="00F64C2E"/>
    <w:rsid w:val="00F6513F"/>
    <w:rsid w:val="00F65640"/>
    <w:rsid w:val="00F65806"/>
    <w:rsid w:val="00F6590B"/>
    <w:rsid w:val="00F659CF"/>
    <w:rsid w:val="00F65A52"/>
    <w:rsid w:val="00F65A98"/>
    <w:rsid w:val="00F66270"/>
    <w:rsid w:val="00F67291"/>
    <w:rsid w:val="00F673DC"/>
    <w:rsid w:val="00F676BA"/>
    <w:rsid w:val="00F6783D"/>
    <w:rsid w:val="00F67975"/>
    <w:rsid w:val="00F67B77"/>
    <w:rsid w:val="00F70018"/>
    <w:rsid w:val="00F70AA8"/>
    <w:rsid w:val="00F71808"/>
    <w:rsid w:val="00F71964"/>
    <w:rsid w:val="00F71A56"/>
    <w:rsid w:val="00F72445"/>
    <w:rsid w:val="00F72976"/>
    <w:rsid w:val="00F72A3F"/>
    <w:rsid w:val="00F72B53"/>
    <w:rsid w:val="00F72CD8"/>
    <w:rsid w:val="00F73584"/>
    <w:rsid w:val="00F73AE6"/>
    <w:rsid w:val="00F74615"/>
    <w:rsid w:val="00F74B15"/>
    <w:rsid w:val="00F750B9"/>
    <w:rsid w:val="00F750DF"/>
    <w:rsid w:val="00F752D8"/>
    <w:rsid w:val="00F75D7B"/>
    <w:rsid w:val="00F76098"/>
    <w:rsid w:val="00F76432"/>
    <w:rsid w:val="00F764BC"/>
    <w:rsid w:val="00F765CF"/>
    <w:rsid w:val="00F7691B"/>
    <w:rsid w:val="00F76BD6"/>
    <w:rsid w:val="00F76BE2"/>
    <w:rsid w:val="00F772C6"/>
    <w:rsid w:val="00F777D4"/>
    <w:rsid w:val="00F77820"/>
    <w:rsid w:val="00F7788A"/>
    <w:rsid w:val="00F80399"/>
    <w:rsid w:val="00F804BB"/>
    <w:rsid w:val="00F804E7"/>
    <w:rsid w:val="00F8076D"/>
    <w:rsid w:val="00F80BEA"/>
    <w:rsid w:val="00F81187"/>
    <w:rsid w:val="00F81563"/>
    <w:rsid w:val="00F8178D"/>
    <w:rsid w:val="00F817BD"/>
    <w:rsid w:val="00F8195A"/>
    <w:rsid w:val="00F81AA6"/>
    <w:rsid w:val="00F81F70"/>
    <w:rsid w:val="00F81FDD"/>
    <w:rsid w:val="00F8221D"/>
    <w:rsid w:val="00F822DB"/>
    <w:rsid w:val="00F82448"/>
    <w:rsid w:val="00F832CF"/>
    <w:rsid w:val="00F83A58"/>
    <w:rsid w:val="00F83DDF"/>
    <w:rsid w:val="00F84146"/>
    <w:rsid w:val="00F84247"/>
    <w:rsid w:val="00F85283"/>
    <w:rsid w:val="00F85327"/>
    <w:rsid w:val="00F85475"/>
    <w:rsid w:val="00F856A6"/>
    <w:rsid w:val="00F85A51"/>
    <w:rsid w:val="00F8672E"/>
    <w:rsid w:val="00F868AD"/>
    <w:rsid w:val="00F86946"/>
    <w:rsid w:val="00F86C0B"/>
    <w:rsid w:val="00F87732"/>
    <w:rsid w:val="00F87A86"/>
    <w:rsid w:val="00F87F5A"/>
    <w:rsid w:val="00F87FBC"/>
    <w:rsid w:val="00F904F8"/>
    <w:rsid w:val="00F908AF"/>
    <w:rsid w:val="00F910AE"/>
    <w:rsid w:val="00F9142D"/>
    <w:rsid w:val="00F91568"/>
    <w:rsid w:val="00F91B38"/>
    <w:rsid w:val="00F91D47"/>
    <w:rsid w:val="00F92179"/>
    <w:rsid w:val="00F932C2"/>
    <w:rsid w:val="00F9355A"/>
    <w:rsid w:val="00F93A8D"/>
    <w:rsid w:val="00F93D3D"/>
    <w:rsid w:val="00F94015"/>
    <w:rsid w:val="00F94076"/>
    <w:rsid w:val="00F940A8"/>
    <w:rsid w:val="00F941CE"/>
    <w:rsid w:val="00F941DD"/>
    <w:rsid w:val="00F94235"/>
    <w:rsid w:val="00F9476C"/>
    <w:rsid w:val="00F947A0"/>
    <w:rsid w:val="00F9487A"/>
    <w:rsid w:val="00F95063"/>
    <w:rsid w:val="00F95193"/>
    <w:rsid w:val="00F954F3"/>
    <w:rsid w:val="00F955B6"/>
    <w:rsid w:val="00F95DCD"/>
    <w:rsid w:val="00F96049"/>
    <w:rsid w:val="00F960C9"/>
    <w:rsid w:val="00F96238"/>
    <w:rsid w:val="00F968F1"/>
    <w:rsid w:val="00F96A83"/>
    <w:rsid w:val="00F975C6"/>
    <w:rsid w:val="00F97862"/>
    <w:rsid w:val="00F97BCB"/>
    <w:rsid w:val="00FA0186"/>
    <w:rsid w:val="00FA0A66"/>
    <w:rsid w:val="00FA0B5B"/>
    <w:rsid w:val="00FA0D3B"/>
    <w:rsid w:val="00FA0DA2"/>
    <w:rsid w:val="00FA0DBD"/>
    <w:rsid w:val="00FA0E52"/>
    <w:rsid w:val="00FA0F3A"/>
    <w:rsid w:val="00FA1872"/>
    <w:rsid w:val="00FA1E3E"/>
    <w:rsid w:val="00FA2245"/>
    <w:rsid w:val="00FA29E6"/>
    <w:rsid w:val="00FA2CE6"/>
    <w:rsid w:val="00FA3036"/>
    <w:rsid w:val="00FA33A9"/>
    <w:rsid w:val="00FA3737"/>
    <w:rsid w:val="00FA37E0"/>
    <w:rsid w:val="00FA3FFF"/>
    <w:rsid w:val="00FA4842"/>
    <w:rsid w:val="00FA497F"/>
    <w:rsid w:val="00FA4C4F"/>
    <w:rsid w:val="00FA4D2D"/>
    <w:rsid w:val="00FA51DF"/>
    <w:rsid w:val="00FA53E7"/>
    <w:rsid w:val="00FA5B47"/>
    <w:rsid w:val="00FA5BFA"/>
    <w:rsid w:val="00FA5CCE"/>
    <w:rsid w:val="00FA5D06"/>
    <w:rsid w:val="00FA6697"/>
    <w:rsid w:val="00FA6E00"/>
    <w:rsid w:val="00FA70C9"/>
    <w:rsid w:val="00FA741C"/>
    <w:rsid w:val="00FA748C"/>
    <w:rsid w:val="00FA78A1"/>
    <w:rsid w:val="00FA79FE"/>
    <w:rsid w:val="00FA7B0A"/>
    <w:rsid w:val="00FA7C97"/>
    <w:rsid w:val="00FB01AB"/>
    <w:rsid w:val="00FB02E9"/>
    <w:rsid w:val="00FB1110"/>
    <w:rsid w:val="00FB211D"/>
    <w:rsid w:val="00FB23FB"/>
    <w:rsid w:val="00FB2565"/>
    <w:rsid w:val="00FB25F7"/>
    <w:rsid w:val="00FB2762"/>
    <w:rsid w:val="00FB2A72"/>
    <w:rsid w:val="00FB2D93"/>
    <w:rsid w:val="00FB3191"/>
    <w:rsid w:val="00FB3319"/>
    <w:rsid w:val="00FB37FB"/>
    <w:rsid w:val="00FB3AC5"/>
    <w:rsid w:val="00FB4150"/>
    <w:rsid w:val="00FB41CF"/>
    <w:rsid w:val="00FB4698"/>
    <w:rsid w:val="00FB4D3C"/>
    <w:rsid w:val="00FB5796"/>
    <w:rsid w:val="00FB5A8F"/>
    <w:rsid w:val="00FB609A"/>
    <w:rsid w:val="00FB62DB"/>
    <w:rsid w:val="00FB6421"/>
    <w:rsid w:val="00FB647A"/>
    <w:rsid w:val="00FB6530"/>
    <w:rsid w:val="00FB6830"/>
    <w:rsid w:val="00FB6B2D"/>
    <w:rsid w:val="00FB6E9C"/>
    <w:rsid w:val="00FB7A64"/>
    <w:rsid w:val="00FB7E56"/>
    <w:rsid w:val="00FC00BF"/>
    <w:rsid w:val="00FC02E4"/>
    <w:rsid w:val="00FC0A13"/>
    <w:rsid w:val="00FC1414"/>
    <w:rsid w:val="00FC1738"/>
    <w:rsid w:val="00FC19AD"/>
    <w:rsid w:val="00FC1C37"/>
    <w:rsid w:val="00FC1E85"/>
    <w:rsid w:val="00FC1FBC"/>
    <w:rsid w:val="00FC2558"/>
    <w:rsid w:val="00FC2793"/>
    <w:rsid w:val="00FC2C65"/>
    <w:rsid w:val="00FC2FF1"/>
    <w:rsid w:val="00FC3880"/>
    <w:rsid w:val="00FC3AEB"/>
    <w:rsid w:val="00FC3EE3"/>
    <w:rsid w:val="00FC40E3"/>
    <w:rsid w:val="00FC418E"/>
    <w:rsid w:val="00FC4359"/>
    <w:rsid w:val="00FC44CC"/>
    <w:rsid w:val="00FC4683"/>
    <w:rsid w:val="00FC47A3"/>
    <w:rsid w:val="00FC4CD0"/>
    <w:rsid w:val="00FC5686"/>
    <w:rsid w:val="00FC5C52"/>
    <w:rsid w:val="00FC5E87"/>
    <w:rsid w:val="00FC5F8C"/>
    <w:rsid w:val="00FC62E2"/>
    <w:rsid w:val="00FC644F"/>
    <w:rsid w:val="00FC67F8"/>
    <w:rsid w:val="00FC6F0D"/>
    <w:rsid w:val="00FC7088"/>
    <w:rsid w:val="00FC71AE"/>
    <w:rsid w:val="00FC7540"/>
    <w:rsid w:val="00FC772D"/>
    <w:rsid w:val="00FC77F8"/>
    <w:rsid w:val="00FC7D4C"/>
    <w:rsid w:val="00FC7D59"/>
    <w:rsid w:val="00FD00B8"/>
    <w:rsid w:val="00FD0905"/>
    <w:rsid w:val="00FD09C9"/>
    <w:rsid w:val="00FD10D2"/>
    <w:rsid w:val="00FD149E"/>
    <w:rsid w:val="00FD158A"/>
    <w:rsid w:val="00FD15E8"/>
    <w:rsid w:val="00FD170B"/>
    <w:rsid w:val="00FD18BA"/>
    <w:rsid w:val="00FD1AEC"/>
    <w:rsid w:val="00FD1B9F"/>
    <w:rsid w:val="00FD1CCB"/>
    <w:rsid w:val="00FD1E31"/>
    <w:rsid w:val="00FD200F"/>
    <w:rsid w:val="00FD2374"/>
    <w:rsid w:val="00FD2375"/>
    <w:rsid w:val="00FD26BE"/>
    <w:rsid w:val="00FD26CF"/>
    <w:rsid w:val="00FD2995"/>
    <w:rsid w:val="00FD2C06"/>
    <w:rsid w:val="00FD3715"/>
    <w:rsid w:val="00FD3D75"/>
    <w:rsid w:val="00FD3DCD"/>
    <w:rsid w:val="00FD457D"/>
    <w:rsid w:val="00FD4722"/>
    <w:rsid w:val="00FD4B29"/>
    <w:rsid w:val="00FD4C92"/>
    <w:rsid w:val="00FD51FE"/>
    <w:rsid w:val="00FD55E4"/>
    <w:rsid w:val="00FD5664"/>
    <w:rsid w:val="00FD58BD"/>
    <w:rsid w:val="00FD5B56"/>
    <w:rsid w:val="00FD5BD3"/>
    <w:rsid w:val="00FD5DE1"/>
    <w:rsid w:val="00FD6006"/>
    <w:rsid w:val="00FD6238"/>
    <w:rsid w:val="00FD6245"/>
    <w:rsid w:val="00FD6485"/>
    <w:rsid w:val="00FD64C0"/>
    <w:rsid w:val="00FD6810"/>
    <w:rsid w:val="00FD6AA3"/>
    <w:rsid w:val="00FD6B1C"/>
    <w:rsid w:val="00FD71A7"/>
    <w:rsid w:val="00FD72DA"/>
    <w:rsid w:val="00FD7369"/>
    <w:rsid w:val="00FD73A7"/>
    <w:rsid w:val="00FD7859"/>
    <w:rsid w:val="00FD7A5F"/>
    <w:rsid w:val="00FE094E"/>
    <w:rsid w:val="00FE095C"/>
    <w:rsid w:val="00FE0AE0"/>
    <w:rsid w:val="00FE0EEF"/>
    <w:rsid w:val="00FE0FC1"/>
    <w:rsid w:val="00FE1930"/>
    <w:rsid w:val="00FE1C6A"/>
    <w:rsid w:val="00FE1D54"/>
    <w:rsid w:val="00FE2573"/>
    <w:rsid w:val="00FE26AD"/>
    <w:rsid w:val="00FE28F7"/>
    <w:rsid w:val="00FE2D5C"/>
    <w:rsid w:val="00FE2F92"/>
    <w:rsid w:val="00FE317F"/>
    <w:rsid w:val="00FE38AE"/>
    <w:rsid w:val="00FE3A74"/>
    <w:rsid w:val="00FE3DC8"/>
    <w:rsid w:val="00FE4314"/>
    <w:rsid w:val="00FE4439"/>
    <w:rsid w:val="00FE468E"/>
    <w:rsid w:val="00FE4858"/>
    <w:rsid w:val="00FE50C5"/>
    <w:rsid w:val="00FE553A"/>
    <w:rsid w:val="00FE6E52"/>
    <w:rsid w:val="00FE729D"/>
    <w:rsid w:val="00FE72FF"/>
    <w:rsid w:val="00FE758A"/>
    <w:rsid w:val="00FE7D9D"/>
    <w:rsid w:val="00FE7FA6"/>
    <w:rsid w:val="00FF00BF"/>
    <w:rsid w:val="00FF0143"/>
    <w:rsid w:val="00FF06B8"/>
    <w:rsid w:val="00FF0857"/>
    <w:rsid w:val="00FF0F86"/>
    <w:rsid w:val="00FF18F3"/>
    <w:rsid w:val="00FF19A8"/>
    <w:rsid w:val="00FF1C17"/>
    <w:rsid w:val="00FF24B1"/>
    <w:rsid w:val="00FF263A"/>
    <w:rsid w:val="00FF2763"/>
    <w:rsid w:val="00FF2BBD"/>
    <w:rsid w:val="00FF2E78"/>
    <w:rsid w:val="00FF2FDD"/>
    <w:rsid w:val="00FF32CB"/>
    <w:rsid w:val="00FF371F"/>
    <w:rsid w:val="00FF3C5A"/>
    <w:rsid w:val="00FF40BB"/>
    <w:rsid w:val="00FF4565"/>
    <w:rsid w:val="00FF4666"/>
    <w:rsid w:val="00FF4722"/>
    <w:rsid w:val="00FF47F3"/>
    <w:rsid w:val="00FF5CA8"/>
    <w:rsid w:val="00FF62E0"/>
    <w:rsid w:val="00FF68B1"/>
    <w:rsid w:val="00FF7146"/>
    <w:rsid w:val="00FF77A1"/>
    <w:rsid w:val="0133364E"/>
    <w:rsid w:val="013982C9"/>
    <w:rsid w:val="017B8187"/>
    <w:rsid w:val="020FA977"/>
    <w:rsid w:val="024F8818"/>
    <w:rsid w:val="039B3092"/>
    <w:rsid w:val="0403A05F"/>
    <w:rsid w:val="0434B14F"/>
    <w:rsid w:val="048B85BE"/>
    <w:rsid w:val="051AAD30"/>
    <w:rsid w:val="052E5C75"/>
    <w:rsid w:val="0563CF42"/>
    <w:rsid w:val="05652DBC"/>
    <w:rsid w:val="0639CD33"/>
    <w:rsid w:val="06417C55"/>
    <w:rsid w:val="06B133C5"/>
    <w:rsid w:val="06EFFB94"/>
    <w:rsid w:val="071A25DE"/>
    <w:rsid w:val="075E5BF9"/>
    <w:rsid w:val="079126DD"/>
    <w:rsid w:val="07BF1923"/>
    <w:rsid w:val="07C8CD6C"/>
    <w:rsid w:val="07E43BD1"/>
    <w:rsid w:val="0800E773"/>
    <w:rsid w:val="085B2135"/>
    <w:rsid w:val="0863B0B5"/>
    <w:rsid w:val="0937B45B"/>
    <w:rsid w:val="09919840"/>
    <w:rsid w:val="0A12CBB7"/>
    <w:rsid w:val="0A6F73E6"/>
    <w:rsid w:val="0AA82569"/>
    <w:rsid w:val="0AAB86FC"/>
    <w:rsid w:val="0AC33A21"/>
    <w:rsid w:val="0B79F6E2"/>
    <w:rsid w:val="0C3D5DA7"/>
    <w:rsid w:val="0C494A22"/>
    <w:rsid w:val="0C8B3E37"/>
    <w:rsid w:val="0CD32BF1"/>
    <w:rsid w:val="0D3C7B4F"/>
    <w:rsid w:val="0E25366C"/>
    <w:rsid w:val="0FD1FD6B"/>
    <w:rsid w:val="107DC0ED"/>
    <w:rsid w:val="1087927B"/>
    <w:rsid w:val="10986B13"/>
    <w:rsid w:val="10B3C42D"/>
    <w:rsid w:val="10C21919"/>
    <w:rsid w:val="112A4C7A"/>
    <w:rsid w:val="1151BF21"/>
    <w:rsid w:val="119F9966"/>
    <w:rsid w:val="11C852F9"/>
    <w:rsid w:val="12196768"/>
    <w:rsid w:val="12705B59"/>
    <w:rsid w:val="12C6FF49"/>
    <w:rsid w:val="12CC34A7"/>
    <w:rsid w:val="14A2B4A8"/>
    <w:rsid w:val="152877B9"/>
    <w:rsid w:val="15BF0E10"/>
    <w:rsid w:val="15EF0516"/>
    <w:rsid w:val="1687FD00"/>
    <w:rsid w:val="168F88FB"/>
    <w:rsid w:val="174ACE5C"/>
    <w:rsid w:val="179A1359"/>
    <w:rsid w:val="1828902F"/>
    <w:rsid w:val="1889B12C"/>
    <w:rsid w:val="188C8F7D"/>
    <w:rsid w:val="190C4729"/>
    <w:rsid w:val="19E35CB9"/>
    <w:rsid w:val="19EC4452"/>
    <w:rsid w:val="1A6F9747"/>
    <w:rsid w:val="1AAD7461"/>
    <w:rsid w:val="1B246A06"/>
    <w:rsid w:val="1B513723"/>
    <w:rsid w:val="1B5CDE53"/>
    <w:rsid w:val="1B862352"/>
    <w:rsid w:val="1C785B25"/>
    <w:rsid w:val="1D90FC14"/>
    <w:rsid w:val="1E2D8576"/>
    <w:rsid w:val="1E432B92"/>
    <w:rsid w:val="1F05FCA0"/>
    <w:rsid w:val="1FA34F6C"/>
    <w:rsid w:val="1FC737C1"/>
    <w:rsid w:val="1FCD65F1"/>
    <w:rsid w:val="1FE86411"/>
    <w:rsid w:val="2023BD25"/>
    <w:rsid w:val="2087BD11"/>
    <w:rsid w:val="2098C857"/>
    <w:rsid w:val="2104E7C1"/>
    <w:rsid w:val="21855919"/>
    <w:rsid w:val="21A5576E"/>
    <w:rsid w:val="222971A9"/>
    <w:rsid w:val="225450CE"/>
    <w:rsid w:val="2264B73A"/>
    <w:rsid w:val="22CC5B64"/>
    <w:rsid w:val="22F5FCDC"/>
    <w:rsid w:val="2324DE12"/>
    <w:rsid w:val="239BF3D3"/>
    <w:rsid w:val="23A4AC43"/>
    <w:rsid w:val="24346585"/>
    <w:rsid w:val="245E8754"/>
    <w:rsid w:val="2476DE0F"/>
    <w:rsid w:val="24A696DA"/>
    <w:rsid w:val="265ECCA4"/>
    <w:rsid w:val="26FD4AFF"/>
    <w:rsid w:val="2775B74E"/>
    <w:rsid w:val="27A41D0B"/>
    <w:rsid w:val="27BF4B51"/>
    <w:rsid w:val="286E8BEE"/>
    <w:rsid w:val="28BA8B01"/>
    <w:rsid w:val="2941EA22"/>
    <w:rsid w:val="2960AC26"/>
    <w:rsid w:val="2B09401B"/>
    <w:rsid w:val="2B0CF910"/>
    <w:rsid w:val="2B1CA6CB"/>
    <w:rsid w:val="2B85B3D6"/>
    <w:rsid w:val="2BC15668"/>
    <w:rsid w:val="2C6A5F67"/>
    <w:rsid w:val="2CAB4734"/>
    <w:rsid w:val="2CDB26D8"/>
    <w:rsid w:val="2D21DD18"/>
    <w:rsid w:val="2D35D866"/>
    <w:rsid w:val="2D5107E8"/>
    <w:rsid w:val="2D5786CE"/>
    <w:rsid w:val="2E8869E0"/>
    <w:rsid w:val="2E8CC4B4"/>
    <w:rsid w:val="2EB4C43F"/>
    <w:rsid w:val="2F145FAE"/>
    <w:rsid w:val="2F484C1E"/>
    <w:rsid w:val="2F4A8F2C"/>
    <w:rsid w:val="2FDA212C"/>
    <w:rsid w:val="3019027D"/>
    <w:rsid w:val="30630349"/>
    <w:rsid w:val="30AC1BE2"/>
    <w:rsid w:val="30B33EB2"/>
    <w:rsid w:val="3111ED61"/>
    <w:rsid w:val="3131A385"/>
    <w:rsid w:val="317B3DC3"/>
    <w:rsid w:val="31848722"/>
    <w:rsid w:val="31C23F19"/>
    <w:rsid w:val="31E12BE1"/>
    <w:rsid w:val="3200F389"/>
    <w:rsid w:val="3210B7C4"/>
    <w:rsid w:val="32C6865E"/>
    <w:rsid w:val="3350CE7D"/>
    <w:rsid w:val="3482B7FA"/>
    <w:rsid w:val="34F4F130"/>
    <w:rsid w:val="35160321"/>
    <w:rsid w:val="357F47C9"/>
    <w:rsid w:val="357FFD27"/>
    <w:rsid w:val="35B39C5F"/>
    <w:rsid w:val="35DAE555"/>
    <w:rsid w:val="3687CD6D"/>
    <w:rsid w:val="373AC2A5"/>
    <w:rsid w:val="3743F5EB"/>
    <w:rsid w:val="3746ABAD"/>
    <w:rsid w:val="378F66A8"/>
    <w:rsid w:val="3943CF8B"/>
    <w:rsid w:val="398F8BCE"/>
    <w:rsid w:val="39BA8449"/>
    <w:rsid w:val="3A06D2DF"/>
    <w:rsid w:val="3A2B63AA"/>
    <w:rsid w:val="3A9C7F85"/>
    <w:rsid w:val="3C95E528"/>
    <w:rsid w:val="3CBDF20B"/>
    <w:rsid w:val="3D2DCDAE"/>
    <w:rsid w:val="3D6ADD4B"/>
    <w:rsid w:val="3DA53752"/>
    <w:rsid w:val="3DB3AB92"/>
    <w:rsid w:val="3E1A6D64"/>
    <w:rsid w:val="3ED95218"/>
    <w:rsid w:val="3FDC4769"/>
    <w:rsid w:val="4015C5E4"/>
    <w:rsid w:val="40A6AA4D"/>
    <w:rsid w:val="40B01693"/>
    <w:rsid w:val="4189E803"/>
    <w:rsid w:val="41DFB241"/>
    <w:rsid w:val="4312056B"/>
    <w:rsid w:val="4358E101"/>
    <w:rsid w:val="43A45086"/>
    <w:rsid w:val="43A9A2F5"/>
    <w:rsid w:val="43B86B02"/>
    <w:rsid w:val="43E33455"/>
    <w:rsid w:val="448694B2"/>
    <w:rsid w:val="44BD3247"/>
    <w:rsid w:val="45B486F8"/>
    <w:rsid w:val="45DF6314"/>
    <w:rsid w:val="464CDB90"/>
    <w:rsid w:val="464D2598"/>
    <w:rsid w:val="46670132"/>
    <w:rsid w:val="469BF29B"/>
    <w:rsid w:val="46C32E02"/>
    <w:rsid w:val="46EF9FBE"/>
    <w:rsid w:val="470F980A"/>
    <w:rsid w:val="485BEFDE"/>
    <w:rsid w:val="488617CE"/>
    <w:rsid w:val="493C3606"/>
    <w:rsid w:val="4A74F6DB"/>
    <w:rsid w:val="4B000E21"/>
    <w:rsid w:val="4C3E558A"/>
    <w:rsid w:val="4C79D12F"/>
    <w:rsid w:val="4CA54AA6"/>
    <w:rsid w:val="4DB353F8"/>
    <w:rsid w:val="4EDB06C8"/>
    <w:rsid w:val="4F5ADB41"/>
    <w:rsid w:val="504F567C"/>
    <w:rsid w:val="51170FB9"/>
    <w:rsid w:val="5147E8F1"/>
    <w:rsid w:val="52FCEBC7"/>
    <w:rsid w:val="534CACF2"/>
    <w:rsid w:val="5420AF77"/>
    <w:rsid w:val="54EB755D"/>
    <w:rsid w:val="54F8D108"/>
    <w:rsid w:val="554111BA"/>
    <w:rsid w:val="55BE3FF5"/>
    <w:rsid w:val="55D01E03"/>
    <w:rsid w:val="56FBB61D"/>
    <w:rsid w:val="591F3D1E"/>
    <w:rsid w:val="59E30D37"/>
    <w:rsid w:val="5A11AAC0"/>
    <w:rsid w:val="5B0DE8DF"/>
    <w:rsid w:val="5CBF6F63"/>
    <w:rsid w:val="5E2F74F9"/>
    <w:rsid w:val="5E972837"/>
    <w:rsid w:val="5EBACF40"/>
    <w:rsid w:val="5EF67614"/>
    <w:rsid w:val="5F8FB10A"/>
    <w:rsid w:val="5FA12F42"/>
    <w:rsid w:val="6052493F"/>
    <w:rsid w:val="6105BE1B"/>
    <w:rsid w:val="610DB2BE"/>
    <w:rsid w:val="6177DED7"/>
    <w:rsid w:val="61BCF7EC"/>
    <w:rsid w:val="61F730F2"/>
    <w:rsid w:val="61FC810A"/>
    <w:rsid w:val="62B4E01D"/>
    <w:rsid w:val="62DE1F50"/>
    <w:rsid w:val="631114D3"/>
    <w:rsid w:val="635730B4"/>
    <w:rsid w:val="6376A717"/>
    <w:rsid w:val="6395A0B9"/>
    <w:rsid w:val="6398F0F2"/>
    <w:rsid w:val="642C631A"/>
    <w:rsid w:val="64743496"/>
    <w:rsid w:val="650C10F1"/>
    <w:rsid w:val="65CC3945"/>
    <w:rsid w:val="660FB7F7"/>
    <w:rsid w:val="661754DB"/>
    <w:rsid w:val="671D0FDA"/>
    <w:rsid w:val="67771862"/>
    <w:rsid w:val="6790B4EB"/>
    <w:rsid w:val="6818AF5F"/>
    <w:rsid w:val="6824B281"/>
    <w:rsid w:val="684DF9AF"/>
    <w:rsid w:val="6890DE24"/>
    <w:rsid w:val="68E8A95B"/>
    <w:rsid w:val="69401F81"/>
    <w:rsid w:val="6A36ED68"/>
    <w:rsid w:val="6A557C45"/>
    <w:rsid w:val="6AECACCD"/>
    <w:rsid w:val="6B57109A"/>
    <w:rsid w:val="6B652842"/>
    <w:rsid w:val="6B65A7AF"/>
    <w:rsid w:val="6C3E2FB8"/>
    <w:rsid w:val="6C860CA9"/>
    <w:rsid w:val="6C98BC05"/>
    <w:rsid w:val="6CCD8654"/>
    <w:rsid w:val="6D4DEA94"/>
    <w:rsid w:val="6DEEF7C1"/>
    <w:rsid w:val="6E572DEF"/>
    <w:rsid w:val="6EA70053"/>
    <w:rsid w:val="6F16B8D8"/>
    <w:rsid w:val="6F699623"/>
    <w:rsid w:val="6F9FDCE2"/>
    <w:rsid w:val="6FFB8F62"/>
    <w:rsid w:val="705E9A5A"/>
    <w:rsid w:val="70B185FB"/>
    <w:rsid w:val="7121E768"/>
    <w:rsid w:val="7195E5DF"/>
    <w:rsid w:val="71CFA602"/>
    <w:rsid w:val="7208B566"/>
    <w:rsid w:val="7266B26A"/>
    <w:rsid w:val="72745548"/>
    <w:rsid w:val="73035B8A"/>
    <w:rsid w:val="7351E4D7"/>
    <w:rsid w:val="73713E00"/>
    <w:rsid w:val="738ED5C0"/>
    <w:rsid w:val="73AC3D33"/>
    <w:rsid w:val="74A0F9CE"/>
    <w:rsid w:val="74D54EB6"/>
    <w:rsid w:val="75DFE270"/>
    <w:rsid w:val="75FB07C7"/>
    <w:rsid w:val="76BDD0E6"/>
    <w:rsid w:val="77A868DB"/>
    <w:rsid w:val="7837BF55"/>
    <w:rsid w:val="788F2AF4"/>
    <w:rsid w:val="793DE577"/>
    <w:rsid w:val="79FAD799"/>
    <w:rsid w:val="79FD827C"/>
    <w:rsid w:val="7A192520"/>
    <w:rsid w:val="7A59311D"/>
    <w:rsid w:val="7AEFDAB7"/>
    <w:rsid w:val="7B000F1A"/>
    <w:rsid w:val="7B7BE4F2"/>
    <w:rsid w:val="7B810D61"/>
    <w:rsid w:val="7C6E2D2D"/>
    <w:rsid w:val="7C7D9BC0"/>
    <w:rsid w:val="7D47D34C"/>
    <w:rsid w:val="7DB4FE92"/>
    <w:rsid w:val="7E4BB592"/>
    <w:rsid w:val="7F73F5C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31745"/>
    <o:shapelayout v:ext="edit">
      <o:idmap v:ext="edit" data="1"/>
    </o:shapelayout>
  </w:shapeDefaults>
  <w:decimalSymbol w:val="."/>
  <w:listSeparator w:val=","/>
  <w14:docId w14:val="73B1F6FE"/>
  <w15:chartTrackingRefBased/>
  <w15:docId w15:val="{0A587194-81B6-42B9-891E-8415F68D28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A2C71"/>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ja-JP"/>
    </w:rPr>
  </w:style>
  <w:style w:type="paragraph" w:styleId="Heading1">
    <w:name w:val="heading 1"/>
    <w:next w:val="Normal"/>
    <w:link w:val="Heading1Char"/>
    <w:qFormat/>
    <w:rsid w:val="008A2C71"/>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8A2C71"/>
    <w:pPr>
      <w:pBdr>
        <w:top w:val="none" w:sz="0" w:space="0" w:color="auto"/>
      </w:pBdr>
      <w:spacing w:before="180"/>
      <w:outlineLvl w:val="1"/>
    </w:pPr>
    <w:rPr>
      <w:sz w:val="32"/>
    </w:rPr>
  </w:style>
  <w:style w:type="paragraph" w:styleId="Heading3">
    <w:name w:val="heading 3"/>
    <w:basedOn w:val="Heading2"/>
    <w:next w:val="Normal"/>
    <w:link w:val="Heading3Char"/>
    <w:qFormat/>
    <w:rsid w:val="008A2C71"/>
    <w:pPr>
      <w:spacing w:before="120"/>
      <w:outlineLvl w:val="2"/>
    </w:pPr>
    <w:rPr>
      <w:sz w:val="28"/>
    </w:rPr>
  </w:style>
  <w:style w:type="paragraph" w:styleId="Heading4">
    <w:name w:val="heading 4"/>
    <w:basedOn w:val="Heading3"/>
    <w:next w:val="Normal"/>
    <w:link w:val="Heading4Char"/>
    <w:qFormat/>
    <w:rsid w:val="008A2C71"/>
    <w:pPr>
      <w:ind w:left="1418" w:hanging="1418"/>
      <w:outlineLvl w:val="3"/>
    </w:pPr>
    <w:rPr>
      <w:sz w:val="24"/>
    </w:rPr>
  </w:style>
  <w:style w:type="paragraph" w:styleId="Heading5">
    <w:name w:val="heading 5"/>
    <w:basedOn w:val="Heading4"/>
    <w:next w:val="Normal"/>
    <w:link w:val="Heading5Char"/>
    <w:qFormat/>
    <w:rsid w:val="008A2C71"/>
    <w:pPr>
      <w:ind w:left="1701" w:hanging="1701"/>
      <w:outlineLvl w:val="4"/>
    </w:pPr>
    <w:rPr>
      <w:sz w:val="22"/>
    </w:rPr>
  </w:style>
  <w:style w:type="paragraph" w:styleId="Heading6">
    <w:name w:val="heading 6"/>
    <w:basedOn w:val="H6"/>
    <w:next w:val="Normal"/>
    <w:link w:val="Heading6Char"/>
    <w:qFormat/>
    <w:rsid w:val="008A2C71"/>
    <w:pPr>
      <w:outlineLvl w:val="5"/>
    </w:pPr>
  </w:style>
  <w:style w:type="paragraph" w:styleId="Heading7">
    <w:name w:val="heading 7"/>
    <w:basedOn w:val="H6"/>
    <w:next w:val="Normal"/>
    <w:link w:val="Heading7Char"/>
    <w:qFormat/>
    <w:rsid w:val="008A2C71"/>
    <w:pPr>
      <w:outlineLvl w:val="6"/>
    </w:pPr>
  </w:style>
  <w:style w:type="paragraph" w:styleId="Heading8">
    <w:name w:val="heading 8"/>
    <w:basedOn w:val="Heading1"/>
    <w:next w:val="Normal"/>
    <w:link w:val="Heading8Char"/>
    <w:qFormat/>
    <w:rsid w:val="008A2C71"/>
    <w:pPr>
      <w:ind w:left="0" w:firstLine="0"/>
      <w:outlineLvl w:val="7"/>
    </w:pPr>
  </w:style>
  <w:style w:type="paragraph" w:styleId="Heading9">
    <w:name w:val="heading 9"/>
    <w:basedOn w:val="Heading8"/>
    <w:next w:val="Normal"/>
    <w:link w:val="Heading9Char"/>
    <w:qFormat/>
    <w:rsid w:val="008A2C7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A2C71"/>
    <w:rPr>
      <w:rFonts w:ascii="Arial" w:eastAsia="Times New Roman" w:hAnsi="Arial" w:cs="Times New Roman"/>
      <w:sz w:val="36"/>
      <w:szCs w:val="20"/>
      <w:lang w:val="en-GB" w:eastAsia="ja-JP"/>
    </w:rPr>
  </w:style>
  <w:style w:type="character" w:customStyle="1" w:styleId="Heading2Char">
    <w:name w:val="Heading 2 Char"/>
    <w:basedOn w:val="DefaultParagraphFont"/>
    <w:link w:val="Heading2"/>
    <w:rsid w:val="008A2C71"/>
    <w:rPr>
      <w:rFonts w:ascii="Arial" w:eastAsia="Times New Roman" w:hAnsi="Arial" w:cs="Times New Roman"/>
      <w:sz w:val="32"/>
      <w:szCs w:val="20"/>
      <w:lang w:val="en-GB" w:eastAsia="ja-JP"/>
    </w:rPr>
  </w:style>
  <w:style w:type="character" w:customStyle="1" w:styleId="Heading3Char">
    <w:name w:val="Heading 3 Char"/>
    <w:basedOn w:val="DefaultParagraphFont"/>
    <w:link w:val="Heading3"/>
    <w:rsid w:val="008A2C71"/>
    <w:rPr>
      <w:rFonts w:ascii="Arial" w:eastAsia="Times New Roman" w:hAnsi="Arial" w:cs="Times New Roman"/>
      <w:sz w:val="28"/>
      <w:szCs w:val="20"/>
      <w:lang w:val="en-GB" w:eastAsia="ja-JP"/>
    </w:rPr>
  </w:style>
  <w:style w:type="character" w:customStyle="1" w:styleId="Heading4Char">
    <w:name w:val="Heading 4 Char"/>
    <w:basedOn w:val="DefaultParagraphFont"/>
    <w:link w:val="Heading4"/>
    <w:rsid w:val="008A2C71"/>
    <w:rPr>
      <w:rFonts w:ascii="Arial" w:eastAsia="Times New Roman" w:hAnsi="Arial" w:cs="Times New Roman"/>
      <w:sz w:val="24"/>
      <w:szCs w:val="20"/>
      <w:lang w:val="en-GB" w:eastAsia="ja-JP"/>
    </w:rPr>
  </w:style>
  <w:style w:type="character" w:customStyle="1" w:styleId="Heading5Char">
    <w:name w:val="Heading 5 Char"/>
    <w:basedOn w:val="DefaultParagraphFont"/>
    <w:link w:val="Heading5"/>
    <w:rsid w:val="008A2C71"/>
    <w:rPr>
      <w:rFonts w:ascii="Arial" w:eastAsia="Times New Roman" w:hAnsi="Arial" w:cs="Times New Roman"/>
      <w:szCs w:val="20"/>
      <w:lang w:val="en-GB" w:eastAsia="ja-JP"/>
    </w:rPr>
  </w:style>
  <w:style w:type="character" w:customStyle="1" w:styleId="Heading6Char">
    <w:name w:val="Heading 6 Char"/>
    <w:basedOn w:val="DefaultParagraphFont"/>
    <w:link w:val="Heading6"/>
    <w:rsid w:val="008A2C71"/>
    <w:rPr>
      <w:rFonts w:ascii="Arial" w:eastAsia="Times New Roman" w:hAnsi="Arial" w:cs="Times New Roman"/>
      <w:sz w:val="20"/>
      <w:szCs w:val="20"/>
      <w:lang w:val="en-GB" w:eastAsia="ja-JP"/>
    </w:rPr>
  </w:style>
  <w:style w:type="character" w:customStyle="1" w:styleId="Heading7Char">
    <w:name w:val="Heading 7 Char"/>
    <w:basedOn w:val="DefaultParagraphFont"/>
    <w:link w:val="Heading7"/>
    <w:rsid w:val="008A2C71"/>
    <w:rPr>
      <w:rFonts w:ascii="Arial" w:eastAsia="Times New Roman" w:hAnsi="Arial" w:cs="Times New Roman"/>
      <w:sz w:val="20"/>
      <w:szCs w:val="20"/>
      <w:lang w:val="en-GB" w:eastAsia="ja-JP"/>
    </w:rPr>
  </w:style>
  <w:style w:type="character" w:customStyle="1" w:styleId="Heading8Char">
    <w:name w:val="Heading 8 Char"/>
    <w:basedOn w:val="DefaultParagraphFont"/>
    <w:link w:val="Heading8"/>
    <w:rsid w:val="008A2C71"/>
    <w:rPr>
      <w:rFonts w:ascii="Arial" w:eastAsia="Times New Roman" w:hAnsi="Arial" w:cs="Times New Roman"/>
      <w:sz w:val="36"/>
      <w:szCs w:val="20"/>
      <w:lang w:val="en-GB" w:eastAsia="ja-JP"/>
    </w:rPr>
  </w:style>
  <w:style w:type="character" w:customStyle="1" w:styleId="Heading9Char">
    <w:name w:val="Heading 9 Char"/>
    <w:basedOn w:val="DefaultParagraphFont"/>
    <w:link w:val="Heading9"/>
    <w:rsid w:val="008A2C71"/>
    <w:rPr>
      <w:rFonts w:ascii="Arial" w:eastAsia="Times New Roman" w:hAnsi="Arial" w:cs="Times New Roman"/>
      <w:sz w:val="36"/>
      <w:szCs w:val="20"/>
      <w:lang w:val="en-GB" w:eastAsia="ja-JP"/>
    </w:rPr>
  </w:style>
  <w:style w:type="paragraph" w:styleId="TOC8">
    <w:name w:val="toc 8"/>
    <w:basedOn w:val="TOC1"/>
    <w:uiPriority w:val="39"/>
    <w:rsid w:val="008A2C71"/>
    <w:pPr>
      <w:spacing w:before="180"/>
      <w:ind w:left="2693" w:hanging="2693"/>
    </w:pPr>
    <w:rPr>
      <w:b/>
    </w:rPr>
  </w:style>
  <w:style w:type="paragraph" w:styleId="TOC1">
    <w:name w:val="toc 1"/>
    <w:uiPriority w:val="39"/>
    <w:rsid w:val="008A2C71"/>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ja-JP"/>
    </w:rPr>
  </w:style>
  <w:style w:type="paragraph" w:customStyle="1" w:styleId="Figure">
    <w:name w:val="Figure"/>
    <w:basedOn w:val="Normal"/>
    <w:next w:val="Caption"/>
    <w:rsid w:val="008A2C71"/>
    <w:pPr>
      <w:keepNext/>
      <w:keepLines/>
      <w:spacing w:before="180"/>
      <w:jc w:val="center"/>
    </w:pPr>
  </w:style>
  <w:style w:type="paragraph" w:styleId="Caption">
    <w:name w:val="caption"/>
    <w:basedOn w:val="Normal"/>
    <w:next w:val="Normal"/>
    <w:qFormat/>
    <w:rsid w:val="008A2C71"/>
    <w:pPr>
      <w:spacing w:before="120" w:after="120"/>
    </w:pPr>
    <w:rPr>
      <w:b/>
      <w:lang w:eastAsia="en-GB"/>
    </w:rPr>
  </w:style>
  <w:style w:type="paragraph" w:styleId="TOC5">
    <w:name w:val="toc 5"/>
    <w:basedOn w:val="TOC4"/>
    <w:uiPriority w:val="39"/>
    <w:rsid w:val="008A2C71"/>
    <w:pPr>
      <w:ind w:left="1701" w:hanging="1701"/>
    </w:pPr>
  </w:style>
  <w:style w:type="paragraph" w:styleId="TOC4">
    <w:name w:val="toc 4"/>
    <w:basedOn w:val="TOC3"/>
    <w:uiPriority w:val="39"/>
    <w:rsid w:val="008A2C71"/>
    <w:pPr>
      <w:ind w:left="1418" w:hanging="1418"/>
    </w:pPr>
  </w:style>
  <w:style w:type="paragraph" w:styleId="TOC3">
    <w:name w:val="toc 3"/>
    <w:basedOn w:val="TOC2"/>
    <w:uiPriority w:val="39"/>
    <w:rsid w:val="008A2C71"/>
    <w:pPr>
      <w:ind w:left="1134" w:hanging="1134"/>
    </w:pPr>
  </w:style>
  <w:style w:type="paragraph" w:styleId="TOC2">
    <w:name w:val="toc 2"/>
    <w:basedOn w:val="TOC1"/>
    <w:uiPriority w:val="39"/>
    <w:rsid w:val="008A2C71"/>
    <w:pPr>
      <w:keepNext w:val="0"/>
      <w:spacing w:before="0"/>
      <w:ind w:left="851" w:hanging="851"/>
    </w:pPr>
    <w:rPr>
      <w:sz w:val="20"/>
    </w:rPr>
  </w:style>
  <w:style w:type="paragraph" w:styleId="Index2">
    <w:name w:val="index 2"/>
    <w:basedOn w:val="Index1"/>
    <w:rsid w:val="008A2C71"/>
    <w:pPr>
      <w:ind w:left="284"/>
    </w:pPr>
  </w:style>
  <w:style w:type="paragraph" w:styleId="Index1">
    <w:name w:val="index 1"/>
    <w:basedOn w:val="Normal"/>
    <w:rsid w:val="008A2C71"/>
    <w:pPr>
      <w:keepLines/>
      <w:spacing w:after="0"/>
    </w:pPr>
  </w:style>
  <w:style w:type="paragraph" w:styleId="DocumentMap">
    <w:name w:val="Document Map"/>
    <w:basedOn w:val="Normal"/>
    <w:link w:val="DocumentMapChar"/>
    <w:rsid w:val="008A2C71"/>
    <w:pPr>
      <w:shd w:val="clear" w:color="auto" w:fill="000080"/>
    </w:pPr>
    <w:rPr>
      <w:rFonts w:ascii="Tahoma" w:hAnsi="Tahoma" w:cs="Tahoma"/>
    </w:rPr>
  </w:style>
  <w:style w:type="character" w:customStyle="1" w:styleId="DocumentMapChar">
    <w:name w:val="Document Map Char"/>
    <w:basedOn w:val="DefaultParagraphFont"/>
    <w:link w:val="DocumentMap"/>
    <w:rsid w:val="008A2C71"/>
    <w:rPr>
      <w:rFonts w:ascii="Tahoma" w:eastAsia="Times New Roman" w:hAnsi="Tahoma" w:cs="Tahoma"/>
      <w:sz w:val="20"/>
      <w:szCs w:val="20"/>
      <w:shd w:val="clear" w:color="auto" w:fill="000080"/>
      <w:lang w:eastAsia="ja-JP"/>
    </w:rPr>
  </w:style>
  <w:style w:type="paragraph" w:styleId="ListNumber2">
    <w:name w:val="List Number 2"/>
    <w:basedOn w:val="ListNumber"/>
    <w:rsid w:val="008A2C71"/>
    <w:pPr>
      <w:numPr>
        <w:numId w:val="12"/>
      </w:numPr>
    </w:pPr>
  </w:style>
  <w:style w:type="paragraph" w:styleId="ListNumber">
    <w:name w:val="List Number"/>
    <w:basedOn w:val="List"/>
    <w:rsid w:val="008A2C71"/>
    <w:pPr>
      <w:numPr>
        <w:numId w:val="11"/>
      </w:numPr>
    </w:pPr>
    <w:rPr>
      <w:lang w:eastAsia="ja-JP"/>
    </w:rPr>
  </w:style>
  <w:style w:type="paragraph" w:styleId="List">
    <w:name w:val="List"/>
    <w:basedOn w:val="BodyText"/>
    <w:rsid w:val="008A2C71"/>
    <w:pPr>
      <w:ind w:left="568" w:hanging="284"/>
    </w:pPr>
  </w:style>
  <w:style w:type="paragraph" w:styleId="Header">
    <w:name w:val="header"/>
    <w:link w:val="HeaderChar"/>
    <w:rsid w:val="008A2C71"/>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ja-JP"/>
    </w:rPr>
  </w:style>
  <w:style w:type="character" w:customStyle="1" w:styleId="HeaderChar">
    <w:name w:val="Header Char"/>
    <w:basedOn w:val="DefaultParagraphFont"/>
    <w:link w:val="Header"/>
    <w:rsid w:val="008A2C71"/>
    <w:rPr>
      <w:rFonts w:ascii="Arial" w:eastAsia="Times New Roman" w:hAnsi="Arial" w:cs="Times New Roman"/>
      <w:b/>
      <w:noProof/>
      <w:sz w:val="18"/>
      <w:szCs w:val="20"/>
      <w:lang w:val="en-GB" w:eastAsia="ja-JP"/>
    </w:rPr>
  </w:style>
  <w:style w:type="character" w:styleId="FootnoteReference">
    <w:name w:val="footnote reference"/>
    <w:rsid w:val="008A2C71"/>
    <w:rPr>
      <w:b/>
      <w:position w:val="6"/>
      <w:sz w:val="16"/>
    </w:rPr>
  </w:style>
  <w:style w:type="paragraph" w:styleId="FootnoteText">
    <w:name w:val="footnote text"/>
    <w:basedOn w:val="Normal"/>
    <w:link w:val="FootnoteTextChar"/>
    <w:rsid w:val="008A2C71"/>
    <w:pPr>
      <w:keepLines/>
      <w:spacing w:after="0"/>
      <w:ind w:left="454" w:hanging="454"/>
    </w:pPr>
    <w:rPr>
      <w:sz w:val="16"/>
    </w:rPr>
  </w:style>
  <w:style w:type="character" w:customStyle="1" w:styleId="FootnoteTextChar">
    <w:name w:val="Footnote Text Char"/>
    <w:basedOn w:val="DefaultParagraphFont"/>
    <w:link w:val="FootnoteText"/>
    <w:rsid w:val="008A2C71"/>
    <w:rPr>
      <w:rFonts w:ascii="Times New Roman" w:eastAsia="Times New Roman" w:hAnsi="Times New Roman" w:cs="Times New Roman"/>
      <w:sz w:val="16"/>
      <w:szCs w:val="20"/>
      <w:lang w:eastAsia="ja-JP"/>
    </w:rPr>
  </w:style>
  <w:style w:type="paragraph" w:customStyle="1" w:styleId="3GPPHeader">
    <w:name w:val="3GPP_Header"/>
    <w:basedOn w:val="BodyText"/>
    <w:rsid w:val="008A2C71"/>
    <w:pPr>
      <w:tabs>
        <w:tab w:val="left" w:pos="1701"/>
        <w:tab w:val="right" w:pos="9639"/>
      </w:tabs>
      <w:spacing w:after="240"/>
    </w:pPr>
    <w:rPr>
      <w:b/>
      <w:sz w:val="24"/>
    </w:rPr>
  </w:style>
  <w:style w:type="paragraph" w:styleId="TOC9">
    <w:name w:val="toc 9"/>
    <w:basedOn w:val="TOC8"/>
    <w:uiPriority w:val="39"/>
    <w:rsid w:val="008A2C71"/>
    <w:pPr>
      <w:ind w:left="1418" w:hanging="1418"/>
    </w:pPr>
  </w:style>
  <w:style w:type="paragraph" w:styleId="TOC6">
    <w:name w:val="toc 6"/>
    <w:basedOn w:val="TOC5"/>
    <w:next w:val="Normal"/>
    <w:uiPriority w:val="39"/>
    <w:rsid w:val="008A2C71"/>
    <w:pPr>
      <w:ind w:left="1985" w:hanging="1985"/>
    </w:pPr>
  </w:style>
  <w:style w:type="paragraph" w:styleId="TOC7">
    <w:name w:val="toc 7"/>
    <w:basedOn w:val="TOC6"/>
    <w:next w:val="Normal"/>
    <w:uiPriority w:val="39"/>
    <w:rsid w:val="008A2C71"/>
    <w:pPr>
      <w:ind w:left="2268" w:hanging="2268"/>
    </w:pPr>
  </w:style>
  <w:style w:type="paragraph" w:styleId="ListBullet2">
    <w:name w:val="List Bullet 2"/>
    <w:basedOn w:val="ListBullet"/>
    <w:rsid w:val="008A2C71"/>
    <w:pPr>
      <w:numPr>
        <w:numId w:val="7"/>
      </w:numPr>
    </w:pPr>
  </w:style>
  <w:style w:type="paragraph" w:styleId="ListBullet">
    <w:name w:val="List Bullet"/>
    <w:basedOn w:val="List"/>
    <w:rsid w:val="008A2C71"/>
    <w:pPr>
      <w:numPr>
        <w:numId w:val="6"/>
      </w:numPr>
    </w:pPr>
    <w:rPr>
      <w:lang w:eastAsia="ja-JP"/>
    </w:rPr>
  </w:style>
  <w:style w:type="paragraph" w:styleId="ListBullet3">
    <w:name w:val="List Bullet 3"/>
    <w:basedOn w:val="ListBullet2"/>
    <w:rsid w:val="008A2C71"/>
    <w:pPr>
      <w:numPr>
        <w:numId w:val="8"/>
      </w:numPr>
    </w:pPr>
  </w:style>
  <w:style w:type="paragraph" w:customStyle="1" w:styleId="EQ">
    <w:name w:val="EQ"/>
    <w:basedOn w:val="Normal"/>
    <w:next w:val="Normal"/>
    <w:rsid w:val="008A2C71"/>
    <w:pPr>
      <w:keepLines/>
      <w:tabs>
        <w:tab w:val="center" w:pos="4536"/>
        <w:tab w:val="right" w:pos="9072"/>
      </w:tabs>
    </w:pPr>
    <w:rPr>
      <w:noProof/>
    </w:rPr>
  </w:style>
  <w:style w:type="paragraph" w:styleId="List2">
    <w:name w:val="List 2"/>
    <w:basedOn w:val="List"/>
    <w:rsid w:val="008A2C71"/>
    <w:pPr>
      <w:ind w:left="851"/>
    </w:pPr>
    <w:rPr>
      <w:lang w:eastAsia="ja-JP"/>
    </w:rPr>
  </w:style>
  <w:style w:type="paragraph" w:styleId="List3">
    <w:name w:val="List 3"/>
    <w:basedOn w:val="List2"/>
    <w:rsid w:val="008A2C71"/>
    <w:pPr>
      <w:ind w:left="1135"/>
    </w:pPr>
  </w:style>
  <w:style w:type="paragraph" w:styleId="List4">
    <w:name w:val="List 4"/>
    <w:basedOn w:val="List3"/>
    <w:rsid w:val="008A2C71"/>
    <w:pPr>
      <w:ind w:left="1418"/>
    </w:pPr>
  </w:style>
  <w:style w:type="paragraph" w:styleId="List5">
    <w:name w:val="List 5"/>
    <w:basedOn w:val="List4"/>
    <w:rsid w:val="008A2C71"/>
    <w:pPr>
      <w:ind w:left="1702"/>
    </w:pPr>
  </w:style>
  <w:style w:type="paragraph" w:customStyle="1" w:styleId="EditorsNote">
    <w:name w:val="Editor's Note"/>
    <w:basedOn w:val="NO"/>
    <w:link w:val="EditorsNoteChar"/>
    <w:rsid w:val="008A2C71"/>
    <w:rPr>
      <w:color w:val="FF0000"/>
      <w:lang w:val="x-none" w:eastAsia="x-none"/>
    </w:rPr>
  </w:style>
  <w:style w:type="paragraph" w:styleId="ListBullet4">
    <w:name w:val="List Bullet 4"/>
    <w:basedOn w:val="ListBullet3"/>
    <w:rsid w:val="008A2C71"/>
    <w:pPr>
      <w:numPr>
        <w:numId w:val="9"/>
      </w:numPr>
    </w:pPr>
  </w:style>
  <w:style w:type="paragraph" w:styleId="ListBullet5">
    <w:name w:val="List Bullet 5"/>
    <w:basedOn w:val="ListBullet4"/>
    <w:rsid w:val="008A2C71"/>
    <w:pPr>
      <w:numPr>
        <w:numId w:val="10"/>
      </w:numPr>
    </w:pPr>
  </w:style>
  <w:style w:type="paragraph" w:styleId="Footer">
    <w:name w:val="footer"/>
    <w:basedOn w:val="Header"/>
    <w:link w:val="FooterChar"/>
    <w:rsid w:val="008A2C71"/>
    <w:pPr>
      <w:jc w:val="center"/>
    </w:pPr>
    <w:rPr>
      <w:i/>
    </w:rPr>
  </w:style>
  <w:style w:type="character" w:customStyle="1" w:styleId="FooterChar">
    <w:name w:val="Footer Char"/>
    <w:basedOn w:val="DefaultParagraphFont"/>
    <w:link w:val="Footer"/>
    <w:rsid w:val="008A2C71"/>
    <w:rPr>
      <w:rFonts w:ascii="Arial" w:eastAsia="Times New Roman" w:hAnsi="Arial" w:cs="Times New Roman"/>
      <w:b/>
      <w:i/>
      <w:noProof/>
      <w:sz w:val="18"/>
      <w:szCs w:val="20"/>
      <w:lang w:val="en-GB" w:eastAsia="ja-JP"/>
    </w:rPr>
  </w:style>
  <w:style w:type="paragraph" w:customStyle="1" w:styleId="Reference">
    <w:name w:val="Reference"/>
    <w:basedOn w:val="BodyText"/>
    <w:rsid w:val="008A2C71"/>
    <w:pPr>
      <w:numPr>
        <w:numId w:val="1"/>
      </w:numPr>
    </w:pPr>
  </w:style>
  <w:style w:type="paragraph" w:styleId="BalloonText">
    <w:name w:val="Balloon Text"/>
    <w:basedOn w:val="Normal"/>
    <w:link w:val="BalloonTextChar"/>
    <w:rsid w:val="008A2C71"/>
    <w:pPr>
      <w:spacing w:after="0"/>
    </w:pPr>
    <w:rPr>
      <w:rFonts w:ascii="Segoe UI" w:hAnsi="Segoe UI" w:cs="Segoe UI"/>
      <w:sz w:val="18"/>
      <w:szCs w:val="18"/>
    </w:rPr>
  </w:style>
  <w:style w:type="character" w:customStyle="1" w:styleId="BalloonTextChar">
    <w:name w:val="Balloon Text Char"/>
    <w:basedOn w:val="DefaultParagraphFont"/>
    <w:link w:val="BalloonText"/>
    <w:rsid w:val="008A2C71"/>
    <w:rPr>
      <w:rFonts w:ascii="Segoe UI" w:eastAsia="Times New Roman" w:hAnsi="Segoe UI" w:cs="Segoe UI"/>
      <w:sz w:val="18"/>
      <w:szCs w:val="18"/>
      <w:lang w:eastAsia="ja-JP"/>
    </w:rPr>
  </w:style>
  <w:style w:type="character" w:styleId="PageNumber">
    <w:name w:val="page number"/>
    <w:basedOn w:val="DefaultParagraphFont"/>
    <w:rsid w:val="008A2C71"/>
  </w:style>
  <w:style w:type="paragraph" w:styleId="BodyText">
    <w:name w:val="Body Text"/>
    <w:basedOn w:val="Normal"/>
    <w:link w:val="BodyTextChar"/>
    <w:rsid w:val="008A2C71"/>
    <w:pPr>
      <w:spacing w:after="120"/>
      <w:jc w:val="both"/>
    </w:pPr>
    <w:rPr>
      <w:rFonts w:ascii="Arial" w:hAnsi="Arial"/>
      <w:lang w:eastAsia="zh-CN"/>
    </w:rPr>
  </w:style>
  <w:style w:type="character" w:customStyle="1" w:styleId="BodyTextChar">
    <w:name w:val="Body Text Char"/>
    <w:basedOn w:val="DefaultParagraphFont"/>
    <w:link w:val="BodyText"/>
    <w:rsid w:val="008A2C71"/>
    <w:rPr>
      <w:rFonts w:ascii="Arial" w:eastAsia="Times New Roman" w:hAnsi="Arial" w:cs="Times New Roman"/>
      <w:sz w:val="20"/>
      <w:szCs w:val="20"/>
      <w:lang w:eastAsia="zh-CN"/>
    </w:rPr>
  </w:style>
  <w:style w:type="character" w:styleId="Hyperlink">
    <w:name w:val="Hyperlink"/>
    <w:uiPriority w:val="99"/>
    <w:rsid w:val="008A2C71"/>
    <w:rPr>
      <w:color w:val="0000FF"/>
      <w:u w:val="single"/>
    </w:rPr>
  </w:style>
  <w:style w:type="character" w:styleId="FollowedHyperlink">
    <w:name w:val="FollowedHyperlink"/>
    <w:unhideWhenUsed/>
    <w:rsid w:val="008A2C71"/>
    <w:rPr>
      <w:color w:val="800080"/>
      <w:u w:val="single"/>
    </w:rPr>
  </w:style>
  <w:style w:type="character" w:styleId="CommentReference">
    <w:name w:val="annotation reference"/>
    <w:uiPriority w:val="99"/>
    <w:qFormat/>
    <w:rsid w:val="008A2C71"/>
    <w:rPr>
      <w:sz w:val="16"/>
      <w:szCs w:val="16"/>
    </w:rPr>
  </w:style>
  <w:style w:type="paragraph" w:styleId="CommentText">
    <w:name w:val="annotation text"/>
    <w:basedOn w:val="Normal"/>
    <w:link w:val="CommentTextChar"/>
    <w:uiPriority w:val="99"/>
    <w:qFormat/>
    <w:rsid w:val="008A2C71"/>
  </w:style>
  <w:style w:type="character" w:customStyle="1" w:styleId="CommentTextChar">
    <w:name w:val="Comment Text Char"/>
    <w:basedOn w:val="DefaultParagraphFont"/>
    <w:link w:val="CommentText"/>
    <w:uiPriority w:val="99"/>
    <w:qFormat/>
    <w:rsid w:val="008A2C71"/>
    <w:rPr>
      <w:rFonts w:ascii="Times New Roman" w:eastAsia="Times New Roman" w:hAnsi="Times New Roman" w:cs="Times New Roman"/>
      <w:sz w:val="20"/>
      <w:szCs w:val="20"/>
      <w:lang w:eastAsia="ja-JP"/>
    </w:rPr>
  </w:style>
  <w:style w:type="paragraph" w:styleId="CommentSubject">
    <w:name w:val="annotation subject"/>
    <w:basedOn w:val="CommentText"/>
    <w:next w:val="CommentText"/>
    <w:link w:val="CommentSubjectChar"/>
    <w:rsid w:val="008A2C71"/>
    <w:rPr>
      <w:b/>
      <w:bCs/>
    </w:rPr>
  </w:style>
  <w:style w:type="character" w:customStyle="1" w:styleId="CommentSubjectChar">
    <w:name w:val="Comment Subject Char"/>
    <w:basedOn w:val="CommentTextChar"/>
    <w:link w:val="CommentSubject"/>
    <w:rsid w:val="008A2C71"/>
    <w:rPr>
      <w:rFonts w:ascii="Times New Roman" w:eastAsia="Times New Roman" w:hAnsi="Times New Roman" w:cs="Times New Roman"/>
      <w:b/>
      <w:bCs/>
      <w:sz w:val="20"/>
      <w:szCs w:val="20"/>
      <w:lang w:eastAsia="ja-JP"/>
    </w:rPr>
  </w:style>
  <w:style w:type="paragraph" w:customStyle="1" w:styleId="B1">
    <w:name w:val="B1"/>
    <w:basedOn w:val="List"/>
    <w:link w:val="B1Char1"/>
    <w:rsid w:val="008A2C71"/>
    <w:rPr>
      <w:rFonts w:ascii="Times New Roman" w:hAnsi="Times New Roman"/>
    </w:rPr>
  </w:style>
  <w:style w:type="paragraph" w:customStyle="1" w:styleId="B2">
    <w:name w:val="B2"/>
    <w:basedOn w:val="List2"/>
    <w:link w:val="B2Char"/>
    <w:rsid w:val="008A2C71"/>
    <w:rPr>
      <w:rFonts w:ascii="Times New Roman" w:hAnsi="Times New Roman"/>
    </w:rPr>
  </w:style>
  <w:style w:type="paragraph" w:customStyle="1" w:styleId="B3">
    <w:name w:val="B3"/>
    <w:basedOn w:val="List3"/>
    <w:link w:val="B3Char2"/>
    <w:rsid w:val="008A2C71"/>
    <w:rPr>
      <w:rFonts w:ascii="Times New Roman" w:hAnsi="Times New Roman"/>
    </w:rPr>
  </w:style>
  <w:style w:type="paragraph" w:customStyle="1" w:styleId="B4">
    <w:name w:val="B4"/>
    <w:basedOn w:val="List4"/>
    <w:link w:val="B4Char"/>
    <w:rsid w:val="008A2C71"/>
    <w:rPr>
      <w:rFonts w:ascii="Times New Roman" w:hAnsi="Times New Roman"/>
    </w:rPr>
  </w:style>
  <w:style w:type="paragraph" w:customStyle="1" w:styleId="Proposal">
    <w:name w:val="Proposal"/>
    <w:basedOn w:val="BodyText"/>
    <w:qFormat/>
    <w:rsid w:val="008A2C71"/>
    <w:pPr>
      <w:numPr>
        <w:numId w:val="2"/>
      </w:numPr>
      <w:tabs>
        <w:tab w:val="left" w:pos="1701"/>
      </w:tabs>
    </w:pPr>
    <w:rPr>
      <w:b/>
      <w:bCs/>
    </w:rPr>
  </w:style>
  <w:style w:type="paragraph" w:customStyle="1" w:styleId="B5">
    <w:name w:val="B5"/>
    <w:basedOn w:val="List5"/>
    <w:link w:val="B5Char"/>
    <w:rsid w:val="008A2C71"/>
    <w:rPr>
      <w:rFonts w:ascii="Times New Roman" w:hAnsi="Times New Roman"/>
    </w:rPr>
  </w:style>
  <w:style w:type="paragraph" w:customStyle="1" w:styleId="EX">
    <w:name w:val="EX"/>
    <w:basedOn w:val="Normal"/>
    <w:rsid w:val="008A2C71"/>
    <w:pPr>
      <w:keepLines/>
      <w:ind w:left="1702" w:hanging="1418"/>
    </w:pPr>
  </w:style>
  <w:style w:type="paragraph" w:customStyle="1" w:styleId="EW">
    <w:name w:val="EW"/>
    <w:basedOn w:val="EX"/>
    <w:rsid w:val="008A2C71"/>
    <w:pPr>
      <w:spacing w:after="0"/>
    </w:pPr>
  </w:style>
  <w:style w:type="paragraph" w:customStyle="1" w:styleId="TAL">
    <w:name w:val="TAL"/>
    <w:basedOn w:val="Normal"/>
    <w:link w:val="TALCar"/>
    <w:qFormat/>
    <w:rsid w:val="008A2C71"/>
    <w:pPr>
      <w:keepNext/>
      <w:keepLines/>
      <w:spacing w:after="0"/>
    </w:pPr>
    <w:rPr>
      <w:rFonts w:ascii="Arial" w:hAnsi="Arial"/>
      <w:sz w:val="18"/>
      <w:lang w:val="x-none" w:eastAsia="x-none"/>
    </w:rPr>
  </w:style>
  <w:style w:type="paragraph" w:customStyle="1" w:styleId="TAC">
    <w:name w:val="TAC"/>
    <w:basedOn w:val="TAL"/>
    <w:link w:val="TACChar"/>
    <w:qFormat/>
    <w:rsid w:val="008A2C71"/>
    <w:pPr>
      <w:jc w:val="center"/>
    </w:pPr>
  </w:style>
  <w:style w:type="paragraph" w:customStyle="1" w:styleId="TAH">
    <w:name w:val="TAH"/>
    <w:basedOn w:val="TAC"/>
    <w:link w:val="TAHCar"/>
    <w:qFormat/>
    <w:rsid w:val="008A2C71"/>
    <w:rPr>
      <w:b/>
    </w:rPr>
  </w:style>
  <w:style w:type="paragraph" w:customStyle="1" w:styleId="TAN">
    <w:name w:val="TAN"/>
    <w:basedOn w:val="TAL"/>
    <w:link w:val="TANChar"/>
    <w:qFormat/>
    <w:rsid w:val="008A2C71"/>
    <w:pPr>
      <w:ind w:left="851" w:hanging="851"/>
    </w:pPr>
  </w:style>
  <w:style w:type="paragraph" w:customStyle="1" w:styleId="TAR">
    <w:name w:val="TAR"/>
    <w:basedOn w:val="TAL"/>
    <w:rsid w:val="008A2C71"/>
    <w:pPr>
      <w:jc w:val="right"/>
    </w:pPr>
  </w:style>
  <w:style w:type="paragraph" w:customStyle="1" w:styleId="TH">
    <w:name w:val="TH"/>
    <w:basedOn w:val="Normal"/>
    <w:link w:val="THChar"/>
    <w:qFormat/>
    <w:rsid w:val="008A2C71"/>
    <w:pPr>
      <w:keepNext/>
      <w:keepLines/>
      <w:spacing w:before="60"/>
      <w:jc w:val="center"/>
    </w:pPr>
    <w:rPr>
      <w:rFonts w:ascii="Arial" w:hAnsi="Arial"/>
      <w:b/>
      <w:lang w:val="x-none" w:eastAsia="x-none"/>
    </w:rPr>
  </w:style>
  <w:style w:type="paragraph" w:customStyle="1" w:styleId="TF">
    <w:name w:val="TF"/>
    <w:basedOn w:val="TH"/>
    <w:link w:val="TFChar"/>
    <w:rsid w:val="00FF24B1"/>
    <w:pPr>
      <w:spacing w:before="240" w:after="120"/>
    </w:pPr>
  </w:style>
  <w:style w:type="paragraph" w:customStyle="1" w:styleId="TT">
    <w:name w:val="TT"/>
    <w:basedOn w:val="Heading1"/>
    <w:next w:val="Normal"/>
    <w:qFormat/>
    <w:rsid w:val="008A2C71"/>
    <w:pPr>
      <w:outlineLvl w:val="9"/>
    </w:pPr>
  </w:style>
  <w:style w:type="paragraph" w:customStyle="1" w:styleId="ZA">
    <w:name w:val="ZA"/>
    <w:rsid w:val="008A2C71"/>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8A2C71"/>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D">
    <w:name w:val="ZD"/>
    <w:rsid w:val="008A2C71"/>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ja-JP"/>
    </w:rPr>
  </w:style>
  <w:style w:type="paragraph" w:customStyle="1" w:styleId="ZG">
    <w:name w:val="ZG"/>
    <w:rsid w:val="008A2C71"/>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character" w:customStyle="1" w:styleId="ZGSM">
    <w:name w:val="ZGSM"/>
    <w:rsid w:val="008A2C71"/>
  </w:style>
  <w:style w:type="paragraph" w:customStyle="1" w:styleId="ZH">
    <w:name w:val="ZH"/>
    <w:rsid w:val="008A2C71"/>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ja-JP"/>
    </w:rPr>
  </w:style>
  <w:style w:type="paragraph" w:customStyle="1" w:styleId="ZT">
    <w:name w:val="ZT"/>
    <w:rsid w:val="008A2C71"/>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customStyle="1" w:styleId="ZTD">
    <w:name w:val="ZTD"/>
    <w:basedOn w:val="ZB"/>
    <w:rsid w:val="008A2C71"/>
    <w:pPr>
      <w:framePr w:hRule="auto" w:wrap="notBeside" w:y="852"/>
    </w:pPr>
    <w:rPr>
      <w:i w:val="0"/>
      <w:sz w:val="40"/>
    </w:rPr>
  </w:style>
  <w:style w:type="paragraph" w:customStyle="1" w:styleId="ZU">
    <w:name w:val="ZU"/>
    <w:rsid w:val="008A2C71"/>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ja-JP"/>
    </w:rPr>
  </w:style>
  <w:style w:type="paragraph" w:customStyle="1" w:styleId="ZV">
    <w:name w:val="ZV"/>
    <w:basedOn w:val="ZU"/>
    <w:rsid w:val="008A2C71"/>
    <w:pPr>
      <w:framePr w:wrap="notBeside" w:y="16161"/>
    </w:pPr>
  </w:style>
  <w:style w:type="paragraph" w:customStyle="1" w:styleId="FP">
    <w:name w:val="FP"/>
    <w:basedOn w:val="Normal"/>
    <w:rsid w:val="008A2C71"/>
    <w:pPr>
      <w:spacing w:after="0"/>
    </w:pPr>
  </w:style>
  <w:style w:type="paragraph" w:customStyle="1" w:styleId="Observation">
    <w:name w:val="Observation"/>
    <w:basedOn w:val="Proposal"/>
    <w:qFormat/>
    <w:rsid w:val="008A2C71"/>
    <w:pPr>
      <w:numPr>
        <w:numId w:val="4"/>
      </w:numPr>
    </w:pPr>
    <w:rPr>
      <w:lang w:eastAsia="ja-JP"/>
    </w:rPr>
  </w:style>
  <w:style w:type="paragraph" w:styleId="TableofFigures">
    <w:name w:val="table of figures"/>
    <w:basedOn w:val="BodyText"/>
    <w:next w:val="Normal"/>
    <w:uiPriority w:val="99"/>
    <w:rsid w:val="008A2C71"/>
    <w:pPr>
      <w:ind w:left="1701" w:hanging="1701"/>
      <w:jc w:val="left"/>
    </w:pPr>
    <w:rPr>
      <w:b/>
    </w:rPr>
  </w:style>
  <w:style w:type="character" w:customStyle="1" w:styleId="B1Char1">
    <w:name w:val="B1 Char1"/>
    <w:link w:val="B1"/>
    <w:qFormat/>
    <w:rsid w:val="008A2C71"/>
    <w:rPr>
      <w:rFonts w:ascii="Times New Roman" w:eastAsia="Times New Roman" w:hAnsi="Times New Roman" w:cs="Times New Roman"/>
      <w:sz w:val="20"/>
      <w:szCs w:val="20"/>
      <w:lang w:eastAsia="zh-CN"/>
    </w:rPr>
  </w:style>
  <w:style w:type="character" w:customStyle="1" w:styleId="B2Char">
    <w:name w:val="B2 Char"/>
    <w:link w:val="B2"/>
    <w:qFormat/>
    <w:rsid w:val="008A2C71"/>
    <w:rPr>
      <w:rFonts w:ascii="Times New Roman" w:eastAsia="Times New Roman" w:hAnsi="Times New Roman" w:cs="Times New Roman"/>
      <w:sz w:val="20"/>
      <w:szCs w:val="20"/>
      <w:lang w:eastAsia="ja-JP"/>
    </w:rPr>
  </w:style>
  <w:style w:type="character" w:customStyle="1" w:styleId="B3Char2">
    <w:name w:val="B3 Char2"/>
    <w:link w:val="B3"/>
    <w:qFormat/>
    <w:rsid w:val="008A2C71"/>
    <w:rPr>
      <w:rFonts w:ascii="Times New Roman" w:eastAsia="Times New Roman" w:hAnsi="Times New Roman" w:cs="Times New Roman"/>
      <w:sz w:val="20"/>
      <w:szCs w:val="20"/>
      <w:lang w:eastAsia="ja-JP"/>
    </w:rPr>
  </w:style>
  <w:style w:type="character" w:customStyle="1" w:styleId="B4Char">
    <w:name w:val="B4 Char"/>
    <w:link w:val="B4"/>
    <w:rsid w:val="008A2C71"/>
    <w:rPr>
      <w:rFonts w:ascii="Times New Roman" w:eastAsia="Times New Roman" w:hAnsi="Times New Roman" w:cs="Times New Roman"/>
      <w:sz w:val="20"/>
      <w:szCs w:val="20"/>
      <w:lang w:eastAsia="ja-JP"/>
    </w:rPr>
  </w:style>
  <w:style w:type="character" w:customStyle="1" w:styleId="B5Char">
    <w:name w:val="B5 Char"/>
    <w:link w:val="B5"/>
    <w:rsid w:val="008A2C71"/>
    <w:rPr>
      <w:rFonts w:ascii="Times New Roman" w:eastAsia="Times New Roman" w:hAnsi="Times New Roman" w:cs="Times New Roman"/>
      <w:sz w:val="20"/>
      <w:szCs w:val="20"/>
      <w:lang w:eastAsia="ja-JP"/>
    </w:rPr>
  </w:style>
  <w:style w:type="paragraph" w:customStyle="1" w:styleId="B6">
    <w:name w:val="B6"/>
    <w:basedOn w:val="B5"/>
    <w:link w:val="B6Char"/>
    <w:rsid w:val="008A2C71"/>
    <w:pPr>
      <w:ind w:left="1985"/>
    </w:pPr>
  </w:style>
  <w:style w:type="character" w:customStyle="1" w:styleId="B6Char">
    <w:name w:val="B6 Char"/>
    <w:link w:val="B6"/>
    <w:rsid w:val="008A2C71"/>
    <w:rPr>
      <w:rFonts w:ascii="Times New Roman" w:eastAsia="Times New Roman" w:hAnsi="Times New Roman" w:cs="Times New Roman"/>
      <w:sz w:val="20"/>
      <w:szCs w:val="20"/>
      <w:lang w:eastAsia="ja-JP"/>
    </w:rPr>
  </w:style>
  <w:style w:type="paragraph" w:customStyle="1" w:styleId="B7">
    <w:name w:val="B7"/>
    <w:basedOn w:val="B6"/>
    <w:link w:val="B7Char"/>
    <w:rsid w:val="008A2C71"/>
    <w:pPr>
      <w:ind w:left="2269"/>
    </w:pPr>
  </w:style>
  <w:style w:type="character" w:customStyle="1" w:styleId="B7Char">
    <w:name w:val="B7 Char"/>
    <w:basedOn w:val="B6Char"/>
    <w:link w:val="B7"/>
    <w:rsid w:val="008A2C71"/>
    <w:rPr>
      <w:rFonts w:ascii="Times New Roman" w:eastAsia="Times New Roman" w:hAnsi="Times New Roman" w:cs="Times New Roman"/>
      <w:sz w:val="20"/>
      <w:szCs w:val="20"/>
      <w:lang w:eastAsia="ja-JP"/>
    </w:rPr>
  </w:style>
  <w:style w:type="paragraph" w:customStyle="1" w:styleId="B8">
    <w:name w:val="B8"/>
    <w:basedOn w:val="B7"/>
    <w:qFormat/>
    <w:rsid w:val="008A2C71"/>
    <w:pPr>
      <w:ind w:left="2552"/>
    </w:pPr>
  </w:style>
  <w:style w:type="paragraph" w:customStyle="1" w:styleId="CRCoverPage">
    <w:name w:val="CR Cover Page"/>
    <w:link w:val="CRCoverPageZchn"/>
    <w:rsid w:val="008A2C71"/>
    <w:pPr>
      <w:spacing w:after="120" w:line="240" w:lineRule="auto"/>
    </w:pPr>
    <w:rPr>
      <w:rFonts w:ascii="Arial" w:eastAsia="Times New Roman" w:hAnsi="Arial" w:cs="Times New Roman"/>
      <w:sz w:val="20"/>
      <w:szCs w:val="20"/>
      <w:lang w:val="en-GB" w:eastAsia="ko-KR"/>
    </w:rPr>
  </w:style>
  <w:style w:type="character" w:customStyle="1" w:styleId="CRCoverPageZchn">
    <w:name w:val="CR Cover Page Zchn"/>
    <w:link w:val="CRCoverPage"/>
    <w:rsid w:val="008A2C71"/>
    <w:rPr>
      <w:rFonts w:ascii="Arial" w:eastAsia="Times New Roman" w:hAnsi="Arial" w:cs="Times New Roman"/>
      <w:sz w:val="20"/>
      <w:szCs w:val="20"/>
      <w:lang w:val="en-GB" w:eastAsia="ko-KR"/>
    </w:rPr>
  </w:style>
  <w:style w:type="paragraph" w:customStyle="1" w:styleId="Doc-text2">
    <w:name w:val="Doc-text2"/>
    <w:basedOn w:val="Normal"/>
    <w:link w:val="Doc-text2Char"/>
    <w:qFormat/>
    <w:rsid w:val="008A2C71"/>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A2C71"/>
    <w:rPr>
      <w:rFonts w:ascii="Arial" w:eastAsia="MS Mincho" w:hAnsi="Arial" w:cs="Times New Roman"/>
      <w:sz w:val="20"/>
      <w:szCs w:val="24"/>
      <w:lang w:val="x-none" w:eastAsia="x-none"/>
    </w:rPr>
  </w:style>
  <w:style w:type="paragraph" w:customStyle="1" w:styleId="NO">
    <w:name w:val="NO"/>
    <w:basedOn w:val="Normal"/>
    <w:link w:val="NOChar"/>
    <w:rsid w:val="008A2C71"/>
    <w:pPr>
      <w:keepLines/>
      <w:ind w:left="1135" w:hanging="851"/>
    </w:pPr>
  </w:style>
  <w:style w:type="character" w:customStyle="1" w:styleId="NOChar">
    <w:name w:val="NO Char"/>
    <w:link w:val="NO"/>
    <w:qFormat/>
    <w:rsid w:val="008A2C71"/>
    <w:rPr>
      <w:rFonts w:ascii="Times New Roman" w:eastAsia="Times New Roman" w:hAnsi="Times New Roman" w:cs="Times New Roman"/>
      <w:sz w:val="20"/>
      <w:szCs w:val="20"/>
      <w:lang w:eastAsia="ja-JP"/>
    </w:rPr>
  </w:style>
  <w:style w:type="character" w:customStyle="1" w:styleId="EditorsNoteChar">
    <w:name w:val="Editor's Note Char"/>
    <w:link w:val="EditorsNote"/>
    <w:rsid w:val="008A2C71"/>
    <w:rPr>
      <w:rFonts w:ascii="Times New Roman" w:eastAsia="Times New Roman" w:hAnsi="Times New Roman" w:cs="Times New Roman"/>
      <w:color w:val="FF0000"/>
      <w:sz w:val="20"/>
      <w:szCs w:val="20"/>
      <w:lang w:val="x-none" w:eastAsia="x-none"/>
    </w:rPr>
  </w:style>
  <w:style w:type="paragraph" w:customStyle="1" w:styleId="EmailDiscussion">
    <w:name w:val="EmailDiscussion"/>
    <w:basedOn w:val="Normal"/>
    <w:next w:val="Normal"/>
    <w:rsid w:val="008A2C71"/>
    <w:pPr>
      <w:numPr>
        <w:numId w:val="5"/>
      </w:numPr>
      <w:spacing w:before="40" w:after="0"/>
    </w:pPr>
    <w:rPr>
      <w:rFonts w:ascii="Arial" w:eastAsia="MS Mincho" w:hAnsi="Arial"/>
      <w:b/>
      <w:szCs w:val="24"/>
      <w:lang w:eastAsia="en-GB"/>
    </w:rPr>
  </w:style>
  <w:style w:type="character" w:styleId="Emphasis">
    <w:name w:val="Emphasis"/>
    <w:qFormat/>
    <w:rsid w:val="008A2C71"/>
    <w:rPr>
      <w:i/>
      <w:iCs/>
    </w:rPr>
  </w:style>
  <w:style w:type="paragraph" w:customStyle="1" w:styleId="FigureTitle">
    <w:name w:val="Figure_Title"/>
    <w:basedOn w:val="Normal"/>
    <w:next w:val="Normal"/>
    <w:rsid w:val="008A2C71"/>
    <w:pPr>
      <w:keepLines/>
      <w:tabs>
        <w:tab w:val="left" w:pos="794"/>
        <w:tab w:val="left" w:pos="1191"/>
        <w:tab w:val="left" w:pos="1588"/>
        <w:tab w:val="left" w:pos="1985"/>
      </w:tabs>
      <w:spacing w:before="120" w:after="480"/>
      <w:jc w:val="center"/>
    </w:pPr>
    <w:rPr>
      <w:b/>
      <w:sz w:val="24"/>
      <w:lang w:eastAsia="en-GB"/>
    </w:rPr>
  </w:style>
  <w:style w:type="paragraph" w:customStyle="1" w:styleId="Guidance">
    <w:name w:val="Guidance"/>
    <w:basedOn w:val="Normal"/>
    <w:rsid w:val="008A2C71"/>
    <w:rPr>
      <w:i/>
      <w:color w:val="0000FF"/>
    </w:rPr>
  </w:style>
  <w:style w:type="paragraph" w:customStyle="1" w:styleId="H6">
    <w:name w:val="H6"/>
    <w:basedOn w:val="Heading5"/>
    <w:next w:val="Normal"/>
    <w:rsid w:val="008A2C71"/>
    <w:pPr>
      <w:ind w:left="1985" w:hanging="1985"/>
      <w:outlineLvl w:val="9"/>
    </w:pPr>
    <w:rPr>
      <w:sz w:val="20"/>
    </w:rPr>
  </w:style>
  <w:style w:type="character" w:styleId="HTMLCode">
    <w:name w:val="HTML Code"/>
    <w:uiPriority w:val="99"/>
    <w:unhideWhenUsed/>
    <w:rsid w:val="008A2C71"/>
    <w:rPr>
      <w:rFonts w:ascii="Courier New" w:eastAsia="Times New Roman" w:hAnsi="Courier New" w:cs="Courier New"/>
      <w:sz w:val="20"/>
      <w:szCs w:val="20"/>
    </w:rPr>
  </w:style>
  <w:style w:type="paragraph" w:styleId="IndexHeading">
    <w:name w:val="index heading"/>
    <w:basedOn w:val="Normal"/>
    <w:next w:val="Normal"/>
    <w:rsid w:val="008A2C71"/>
    <w:pPr>
      <w:pBdr>
        <w:top w:val="single" w:sz="12" w:space="0" w:color="auto"/>
      </w:pBdr>
      <w:spacing w:before="360" w:after="240"/>
    </w:pPr>
    <w:rPr>
      <w:b/>
      <w:i/>
      <w:sz w:val="26"/>
      <w:lang w:eastAsia="en-GB"/>
    </w:rPr>
  </w:style>
  <w:style w:type="paragraph" w:customStyle="1" w:styleId="LD">
    <w:name w:val="LD"/>
    <w:rsid w:val="008A2C71"/>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ja-JP"/>
    </w:rPr>
  </w:style>
  <w:style w:type="paragraph" w:styleId="ListParagraph">
    <w:name w:val="List Paragraph"/>
    <w:aliases w:val="- Bullets,목록 단락,Lista1,?? ??,?????,????,列出段落1,中等深浅网格 1 - 着色 21,¥¡¡¡¡ì¬º¥¹¥È¶ÎÂä,ÁÐ³ö¶ÎÂä,¥ê¥¹¥È¶ÎÂä,列表段落1,—ño’i—Ž,列出段落,1st level - Bullet List Paragraph,Lettre d'introduction,Paragrafo elenco,Normal bullet 2,Bullet list,목록단락"/>
    <w:basedOn w:val="Normal"/>
    <w:link w:val="ListParagraphChar"/>
    <w:uiPriority w:val="34"/>
    <w:qFormat/>
    <w:rsid w:val="008A2C71"/>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목록 단락 Char,Lista1 Char,?? ?? Char,????? Char,???? Char,列出段落1 Char,中等深浅网格 1 - 着色 21 Char,¥¡¡¡¡ì¬º¥¹¥È¶ÎÂä Char,ÁÐ³ö¶ÎÂä Char,¥ê¥¹¥È¶ÎÂä Char,列表段落1 Char,—ño’i—Ž Char,列出段落 Char,1st level - Bullet List Paragraph Char"/>
    <w:link w:val="ListParagraph"/>
    <w:uiPriority w:val="34"/>
    <w:qFormat/>
    <w:locked/>
    <w:rsid w:val="008A2C71"/>
    <w:rPr>
      <w:rFonts w:ascii="Calibri" w:eastAsia="Calibri" w:hAnsi="Calibri" w:cs="Times New Roman"/>
      <w:lang w:val="x-none"/>
    </w:rPr>
  </w:style>
  <w:style w:type="paragraph" w:customStyle="1" w:styleId="NF">
    <w:name w:val="NF"/>
    <w:basedOn w:val="NO"/>
    <w:rsid w:val="008A2C71"/>
    <w:pPr>
      <w:keepNext/>
      <w:spacing w:after="0"/>
    </w:pPr>
    <w:rPr>
      <w:rFonts w:ascii="Arial" w:hAnsi="Arial"/>
      <w:sz w:val="18"/>
    </w:rPr>
  </w:style>
  <w:style w:type="paragraph" w:customStyle="1" w:styleId="NW">
    <w:name w:val="NW"/>
    <w:basedOn w:val="NO"/>
    <w:rsid w:val="008A2C71"/>
    <w:pPr>
      <w:spacing w:after="0"/>
    </w:pPr>
  </w:style>
  <w:style w:type="paragraph" w:customStyle="1" w:styleId="PL">
    <w:name w:val="PL"/>
    <w:link w:val="PLChar"/>
    <w:qFormat/>
    <w:rsid w:val="008A2C7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after="0" w:line="240" w:lineRule="auto"/>
    </w:pPr>
    <w:rPr>
      <w:rFonts w:ascii="Courier New" w:eastAsia="Batang" w:hAnsi="Courier New" w:cs="Times New Roman"/>
      <w:noProof/>
      <w:sz w:val="16"/>
      <w:szCs w:val="20"/>
      <w:lang w:val="en-GB" w:eastAsia="sv-SE"/>
    </w:rPr>
  </w:style>
  <w:style w:type="character" w:customStyle="1" w:styleId="PLChar">
    <w:name w:val="PL Char"/>
    <w:link w:val="PL"/>
    <w:qFormat/>
    <w:rsid w:val="008A2C71"/>
    <w:rPr>
      <w:rFonts w:ascii="Courier New" w:eastAsia="Batang" w:hAnsi="Courier New" w:cs="Times New Roman"/>
      <w:noProof/>
      <w:sz w:val="16"/>
      <w:szCs w:val="20"/>
      <w:shd w:val="clear" w:color="auto" w:fill="E6E6E6"/>
      <w:lang w:val="en-GB" w:eastAsia="sv-SE"/>
    </w:rPr>
  </w:style>
  <w:style w:type="paragraph" w:styleId="PlainText">
    <w:name w:val="Plain Text"/>
    <w:basedOn w:val="Normal"/>
    <w:link w:val="PlainTextChar"/>
    <w:rsid w:val="008A2C71"/>
    <w:rPr>
      <w:rFonts w:ascii="Courier New" w:hAnsi="Courier New"/>
      <w:lang w:val="nb-NO"/>
    </w:rPr>
  </w:style>
  <w:style w:type="character" w:customStyle="1" w:styleId="PlainTextChar">
    <w:name w:val="Plain Text Char"/>
    <w:basedOn w:val="DefaultParagraphFont"/>
    <w:link w:val="PlainText"/>
    <w:rsid w:val="008A2C71"/>
    <w:rPr>
      <w:rFonts w:ascii="Courier New" w:eastAsia="Times New Roman" w:hAnsi="Courier New" w:cs="Times New Roman"/>
      <w:sz w:val="20"/>
      <w:szCs w:val="20"/>
      <w:lang w:val="nb-NO" w:eastAsia="ja-JP"/>
    </w:rPr>
  </w:style>
  <w:style w:type="character" w:styleId="Strong">
    <w:name w:val="Strong"/>
    <w:uiPriority w:val="22"/>
    <w:qFormat/>
    <w:rsid w:val="008A2C71"/>
    <w:rPr>
      <w:b/>
      <w:bCs/>
    </w:rPr>
  </w:style>
  <w:style w:type="table" w:styleId="TableGrid">
    <w:name w:val="Table Grid"/>
    <w:basedOn w:val="TableNormal"/>
    <w:uiPriority w:val="39"/>
    <w:rsid w:val="008A2C71"/>
    <w:pPr>
      <w:spacing w:after="0" w:line="240" w:lineRule="auto"/>
    </w:pPr>
    <w:rPr>
      <w:rFonts w:ascii="Calibri" w:eastAsia="Calibri" w:hAnsi="Calibri" w:cs="Times New Roman"/>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A2C71"/>
    <w:rPr>
      <w:rFonts w:ascii="Arial" w:eastAsia="Times New Roman" w:hAnsi="Arial" w:cs="Times New Roman"/>
      <w:sz w:val="18"/>
      <w:szCs w:val="20"/>
      <w:lang w:val="x-none" w:eastAsia="x-none"/>
    </w:rPr>
  </w:style>
  <w:style w:type="character" w:customStyle="1" w:styleId="TAHCar">
    <w:name w:val="TAH Car"/>
    <w:link w:val="TAH"/>
    <w:qFormat/>
    <w:locked/>
    <w:rsid w:val="008A2C71"/>
    <w:rPr>
      <w:rFonts w:ascii="Arial" w:eastAsia="Times New Roman" w:hAnsi="Arial" w:cs="Times New Roman"/>
      <w:b/>
      <w:sz w:val="18"/>
      <w:szCs w:val="20"/>
      <w:lang w:val="x-none" w:eastAsia="x-none"/>
    </w:rPr>
  </w:style>
  <w:style w:type="character" w:customStyle="1" w:styleId="THChar">
    <w:name w:val="TH Char"/>
    <w:link w:val="TH"/>
    <w:qFormat/>
    <w:rsid w:val="008A2C71"/>
    <w:rPr>
      <w:rFonts w:ascii="Arial" w:eastAsia="Times New Roman" w:hAnsi="Arial" w:cs="Times New Roman"/>
      <w:b/>
      <w:sz w:val="20"/>
      <w:szCs w:val="20"/>
      <w:lang w:val="x-none" w:eastAsia="x-none"/>
    </w:rPr>
  </w:style>
  <w:style w:type="paragraph" w:customStyle="1" w:styleId="TAJ">
    <w:name w:val="TAJ"/>
    <w:basedOn w:val="TH"/>
    <w:rsid w:val="008A2C71"/>
  </w:style>
  <w:style w:type="paragraph" w:customStyle="1" w:styleId="TALCharChar">
    <w:name w:val="TAL Char Char"/>
    <w:basedOn w:val="Normal"/>
    <w:link w:val="TALCharCharChar"/>
    <w:rsid w:val="008A2C71"/>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A2C71"/>
    <w:rPr>
      <w:rFonts w:ascii="Arial" w:eastAsia="Malgun Gothic" w:hAnsi="Arial" w:cs="Times New Roman"/>
      <w:sz w:val="18"/>
      <w:szCs w:val="20"/>
      <w:lang w:val="x-none" w:eastAsia="x-none"/>
    </w:rPr>
  </w:style>
  <w:style w:type="character" w:customStyle="1" w:styleId="TFChar">
    <w:name w:val="TF Char"/>
    <w:link w:val="TF"/>
    <w:rsid w:val="00FF24B1"/>
    <w:rPr>
      <w:rFonts w:ascii="Arial" w:eastAsia="Times New Roman" w:hAnsi="Arial" w:cs="Times New Roman"/>
      <w:b/>
      <w:sz w:val="20"/>
      <w:szCs w:val="20"/>
      <w:lang w:val="x-none" w:eastAsia="x-none"/>
    </w:rPr>
  </w:style>
  <w:style w:type="paragraph" w:styleId="ListContinue">
    <w:name w:val="List Continue"/>
    <w:basedOn w:val="Normal"/>
    <w:rsid w:val="008A2C71"/>
    <w:pPr>
      <w:spacing w:after="120"/>
      <w:ind w:left="283"/>
      <w:contextualSpacing/>
    </w:pPr>
    <w:rPr>
      <w:rFonts w:ascii="Arial" w:hAnsi="Arial"/>
    </w:rPr>
  </w:style>
  <w:style w:type="paragraph" w:styleId="ListContinue2">
    <w:name w:val="List Continue 2"/>
    <w:basedOn w:val="Normal"/>
    <w:rsid w:val="008A2C71"/>
    <w:pPr>
      <w:spacing w:after="120"/>
      <w:ind w:left="566"/>
      <w:contextualSpacing/>
    </w:pPr>
    <w:rPr>
      <w:rFonts w:ascii="Arial" w:hAnsi="Arial"/>
    </w:rPr>
  </w:style>
  <w:style w:type="paragraph" w:styleId="ListNumber3">
    <w:name w:val="List Number 3"/>
    <w:basedOn w:val="ListNumber2"/>
    <w:rsid w:val="008A2C71"/>
    <w:pPr>
      <w:numPr>
        <w:numId w:val="3"/>
      </w:numPr>
      <w:contextualSpacing/>
    </w:pPr>
  </w:style>
  <w:style w:type="paragraph" w:styleId="BlockText">
    <w:name w:val="Block Text"/>
    <w:basedOn w:val="Normal"/>
    <w:rsid w:val="008A2C71"/>
    <w:pPr>
      <w:pBdr>
        <w:top w:val="single" w:sz="2" w:space="10" w:color="4472C4" w:themeColor="accent1" w:shadow="1" w:frame="1"/>
        <w:left w:val="single" w:sz="2" w:space="10" w:color="4472C4" w:themeColor="accent1" w:shadow="1" w:frame="1"/>
        <w:bottom w:val="single" w:sz="2" w:space="10" w:color="4472C4" w:themeColor="accent1" w:shadow="1" w:frame="1"/>
        <w:right w:val="single" w:sz="2" w:space="10" w:color="4472C4" w:themeColor="accent1" w:shadow="1" w:frame="1"/>
      </w:pBdr>
      <w:ind w:left="1152" w:right="1152"/>
    </w:pPr>
    <w:rPr>
      <w:rFonts w:eastAsiaTheme="minorEastAsia"/>
      <w:i/>
      <w:iCs/>
      <w:color w:val="4472C4" w:themeColor="accent1"/>
    </w:rPr>
  </w:style>
  <w:style w:type="paragraph" w:styleId="NormalWeb">
    <w:name w:val="Normal (Web)"/>
    <w:basedOn w:val="Normal"/>
    <w:uiPriority w:val="99"/>
    <w:unhideWhenUsed/>
    <w:rsid w:val="008A2C71"/>
    <w:pPr>
      <w:spacing w:before="100" w:beforeAutospacing="1" w:after="100" w:afterAutospacing="1"/>
    </w:pPr>
    <w:rPr>
      <w:sz w:val="24"/>
      <w:szCs w:val="24"/>
    </w:rPr>
  </w:style>
  <w:style w:type="character" w:customStyle="1" w:styleId="cs1-format">
    <w:name w:val="cs1-format"/>
    <w:basedOn w:val="DefaultParagraphFont"/>
    <w:rsid w:val="008A2C71"/>
  </w:style>
  <w:style w:type="character" w:customStyle="1" w:styleId="reference-accessdate">
    <w:name w:val="reference-accessdate"/>
    <w:basedOn w:val="DefaultParagraphFont"/>
    <w:rsid w:val="008A2C71"/>
  </w:style>
  <w:style w:type="character" w:customStyle="1" w:styleId="nowrap">
    <w:name w:val="nowrap"/>
    <w:basedOn w:val="DefaultParagraphFont"/>
    <w:rsid w:val="008A2C71"/>
  </w:style>
  <w:style w:type="character" w:styleId="PlaceholderText">
    <w:name w:val="Placeholder Text"/>
    <w:basedOn w:val="DefaultParagraphFont"/>
    <w:uiPriority w:val="99"/>
    <w:semiHidden/>
    <w:rsid w:val="008A2C71"/>
    <w:rPr>
      <w:color w:val="808080"/>
    </w:rPr>
  </w:style>
  <w:style w:type="character" w:customStyle="1" w:styleId="TACChar">
    <w:name w:val="TAC Char"/>
    <w:link w:val="TAC"/>
    <w:qFormat/>
    <w:locked/>
    <w:rsid w:val="008A2C71"/>
    <w:rPr>
      <w:rFonts w:ascii="Arial" w:eastAsia="Times New Roman" w:hAnsi="Arial" w:cs="Times New Roman"/>
      <w:sz w:val="18"/>
      <w:szCs w:val="20"/>
      <w:lang w:val="x-none" w:eastAsia="x-none"/>
    </w:rPr>
  </w:style>
  <w:style w:type="paragraph" w:styleId="Revision">
    <w:name w:val="Revision"/>
    <w:hidden/>
    <w:uiPriority w:val="99"/>
    <w:semiHidden/>
    <w:rsid w:val="008A2C71"/>
    <w:pPr>
      <w:spacing w:after="0" w:line="240" w:lineRule="auto"/>
    </w:pPr>
    <w:rPr>
      <w:rFonts w:ascii="Times New Roman" w:eastAsia="Times New Roman" w:hAnsi="Times New Roman" w:cs="Times New Roman"/>
      <w:sz w:val="20"/>
      <w:szCs w:val="20"/>
      <w:lang w:val="en-GB" w:eastAsia="ja-JP"/>
    </w:rPr>
  </w:style>
  <w:style w:type="paragraph" w:customStyle="1" w:styleId="Default">
    <w:name w:val="Default"/>
    <w:rsid w:val="008A2C71"/>
    <w:pPr>
      <w:autoSpaceDE w:val="0"/>
      <w:autoSpaceDN w:val="0"/>
      <w:adjustRightInd w:val="0"/>
      <w:spacing w:after="0" w:line="240" w:lineRule="auto"/>
    </w:pPr>
    <w:rPr>
      <w:rFonts w:ascii="Arial" w:hAnsi="Arial" w:cs="Arial"/>
      <w:color w:val="000000"/>
      <w:sz w:val="24"/>
      <w:szCs w:val="24"/>
    </w:rPr>
  </w:style>
  <w:style w:type="character" w:customStyle="1" w:styleId="TANChar">
    <w:name w:val="TAN Char"/>
    <w:link w:val="TAN"/>
    <w:locked/>
    <w:rsid w:val="002E63AF"/>
    <w:rPr>
      <w:rFonts w:ascii="Arial" w:eastAsia="Times New Roman" w:hAnsi="Arial" w:cs="Times New Roman"/>
      <w:sz w:val="18"/>
      <w:szCs w:val="20"/>
      <w:lang w:val="x-none" w:eastAsia="x-none"/>
    </w:rPr>
  </w:style>
  <w:style w:type="paragraph" w:customStyle="1" w:styleId="FL">
    <w:name w:val="FL"/>
    <w:basedOn w:val="Normal"/>
    <w:rsid w:val="001C3202"/>
    <w:pPr>
      <w:keepNext/>
      <w:keepLines/>
      <w:spacing w:before="60"/>
      <w:jc w:val="center"/>
    </w:pPr>
    <w:rPr>
      <w:rFonts w:ascii="Arial" w:hAnsi="Arial"/>
      <w:b/>
      <w:lang w:val="en-GB" w:eastAsia="en-US"/>
    </w:rPr>
  </w:style>
  <w:style w:type="paragraph" w:styleId="TOCHeading">
    <w:name w:val="TOC Heading"/>
    <w:basedOn w:val="Heading1"/>
    <w:next w:val="Normal"/>
    <w:uiPriority w:val="39"/>
    <w:unhideWhenUsed/>
    <w:qFormat/>
    <w:rsid w:val="003B0BC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styleId="UnresolvedMention">
    <w:name w:val="Unresolved Mention"/>
    <w:basedOn w:val="DefaultParagraphFont"/>
    <w:uiPriority w:val="99"/>
    <w:unhideWhenUsed/>
    <w:rsid w:val="00910C14"/>
    <w:rPr>
      <w:color w:val="605E5C"/>
      <w:shd w:val="clear" w:color="auto" w:fill="E1DFDD"/>
    </w:rPr>
  </w:style>
  <w:style w:type="character" w:styleId="Mention">
    <w:name w:val="Mention"/>
    <w:basedOn w:val="DefaultParagraphFont"/>
    <w:uiPriority w:val="99"/>
    <w:unhideWhenUsed/>
    <w:rsid w:val="00910C14"/>
    <w:rPr>
      <w:color w:val="2B579A"/>
      <w:shd w:val="clear" w:color="auto" w:fill="E1DFDD"/>
    </w:rPr>
  </w:style>
  <w:style w:type="paragraph" w:customStyle="1" w:styleId="IvDbodytext">
    <w:name w:val="IvD bodytext"/>
    <w:basedOn w:val="BodyText"/>
    <w:link w:val="IvDbodytextChar"/>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spacing w:val="2"/>
      <w:lang w:eastAsia="en-US"/>
    </w:rPr>
  </w:style>
  <w:style w:type="character" w:customStyle="1" w:styleId="IvDbodytextChar">
    <w:name w:val="IvD bodytext Char"/>
    <w:basedOn w:val="DefaultParagraphFont"/>
    <w:link w:val="IvDbodytext"/>
    <w:rsid w:val="00652915"/>
    <w:rPr>
      <w:rFonts w:ascii="Arial" w:eastAsia="SimSun" w:hAnsi="Arial" w:cs="Times New Roman"/>
      <w:spacing w:val="2"/>
      <w:sz w:val="20"/>
      <w:szCs w:val="20"/>
    </w:rPr>
  </w:style>
  <w:style w:type="paragraph" w:customStyle="1" w:styleId="IvDInstructiontext">
    <w:name w:val="IvD Instructiontext"/>
    <w:basedOn w:val="BodyText"/>
    <w:link w:val="IvDInstructiontextChar"/>
    <w:uiPriority w:val="99"/>
    <w:qFormat/>
    <w:rsid w:val="006529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eastAsia="SimSu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652915"/>
    <w:rPr>
      <w:rFonts w:ascii="Arial" w:eastAsia="SimSun" w:hAnsi="Arial" w:cs="Times New Roman"/>
      <w:i/>
      <w:color w:val="7F7F7F" w:themeColor="text1" w:themeTint="80"/>
      <w:spacing w:val="2"/>
      <w:sz w:val="18"/>
      <w:szCs w:val="18"/>
    </w:rPr>
  </w:style>
  <w:style w:type="paragraph" w:customStyle="1" w:styleId="StyleCaptionCentered">
    <w:name w:val="Style Caption + Centered"/>
    <w:basedOn w:val="Caption"/>
    <w:rsid w:val="008C0387"/>
    <w:pPr>
      <w:keepNext/>
      <w:jc w:val="center"/>
    </w:pPr>
    <w:rPr>
      <w:rFonts w:ascii="Arial" w:hAnsi="Arial"/>
      <w:bCs/>
    </w:rPr>
  </w:style>
  <w:style w:type="table" w:styleId="TableGridLight">
    <w:name w:val="Grid Table Light"/>
    <w:basedOn w:val="TableNormal"/>
    <w:uiPriority w:val="40"/>
    <w:rsid w:val="00D4662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7">
    <w:name w:val="Table Grid7"/>
    <w:basedOn w:val="TableNormal"/>
    <w:next w:val="TableGrid"/>
    <w:uiPriority w:val="39"/>
    <w:qFormat/>
    <w:rsid w:val="00B81869"/>
    <w:pPr>
      <w:spacing w:after="0" w:line="240" w:lineRule="auto"/>
    </w:pPr>
    <w:rPr>
      <w:rFonts w:ascii="Times New Roman" w:eastAsia="Batang" w:hAnsi="Times New Roman" w:cs="Times New Roman"/>
      <w:sz w:val="20"/>
      <w:szCs w:val="20"/>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158455">
      <w:bodyDiv w:val="1"/>
      <w:marLeft w:val="0"/>
      <w:marRight w:val="0"/>
      <w:marTop w:val="0"/>
      <w:marBottom w:val="0"/>
      <w:divBdr>
        <w:top w:val="none" w:sz="0" w:space="0" w:color="auto"/>
        <w:left w:val="none" w:sz="0" w:space="0" w:color="auto"/>
        <w:bottom w:val="none" w:sz="0" w:space="0" w:color="auto"/>
        <w:right w:val="none" w:sz="0" w:space="0" w:color="auto"/>
      </w:divBdr>
    </w:div>
    <w:div w:id="135495392">
      <w:bodyDiv w:val="1"/>
      <w:marLeft w:val="0"/>
      <w:marRight w:val="0"/>
      <w:marTop w:val="0"/>
      <w:marBottom w:val="0"/>
      <w:divBdr>
        <w:top w:val="none" w:sz="0" w:space="0" w:color="auto"/>
        <w:left w:val="none" w:sz="0" w:space="0" w:color="auto"/>
        <w:bottom w:val="none" w:sz="0" w:space="0" w:color="auto"/>
        <w:right w:val="none" w:sz="0" w:space="0" w:color="auto"/>
      </w:divBdr>
    </w:div>
    <w:div w:id="272711196">
      <w:bodyDiv w:val="1"/>
      <w:marLeft w:val="0"/>
      <w:marRight w:val="0"/>
      <w:marTop w:val="0"/>
      <w:marBottom w:val="0"/>
      <w:divBdr>
        <w:top w:val="none" w:sz="0" w:space="0" w:color="auto"/>
        <w:left w:val="none" w:sz="0" w:space="0" w:color="auto"/>
        <w:bottom w:val="none" w:sz="0" w:space="0" w:color="auto"/>
        <w:right w:val="none" w:sz="0" w:space="0" w:color="auto"/>
      </w:divBdr>
      <w:divsChild>
        <w:div w:id="1500927276">
          <w:marLeft w:val="288"/>
          <w:marRight w:val="0"/>
          <w:marTop w:val="160"/>
          <w:marBottom w:val="0"/>
          <w:divBdr>
            <w:top w:val="none" w:sz="0" w:space="0" w:color="auto"/>
            <w:left w:val="none" w:sz="0" w:space="0" w:color="auto"/>
            <w:bottom w:val="none" w:sz="0" w:space="0" w:color="auto"/>
            <w:right w:val="none" w:sz="0" w:space="0" w:color="auto"/>
          </w:divBdr>
        </w:div>
      </w:divsChild>
    </w:div>
    <w:div w:id="312032415">
      <w:bodyDiv w:val="1"/>
      <w:marLeft w:val="0"/>
      <w:marRight w:val="0"/>
      <w:marTop w:val="0"/>
      <w:marBottom w:val="0"/>
      <w:divBdr>
        <w:top w:val="none" w:sz="0" w:space="0" w:color="auto"/>
        <w:left w:val="none" w:sz="0" w:space="0" w:color="auto"/>
        <w:bottom w:val="none" w:sz="0" w:space="0" w:color="auto"/>
        <w:right w:val="none" w:sz="0" w:space="0" w:color="auto"/>
      </w:divBdr>
    </w:div>
    <w:div w:id="317073329">
      <w:bodyDiv w:val="1"/>
      <w:marLeft w:val="0"/>
      <w:marRight w:val="0"/>
      <w:marTop w:val="0"/>
      <w:marBottom w:val="0"/>
      <w:divBdr>
        <w:top w:val="none" w:sz="0" w:space="0" w:color="auto"/>
        <w:left w:val="none" w:sz="0" w:space="0" w:color="auto"/>
        <w:bottom w:val="none" w:sz="0" w:space="0" w:color="auto"/>
        <w:right w:val="none" w:sz="0" w:space="0" w:color="auto"/>
      </w:divBdr>
    </w:div>
    <w:div w:id="325939404">
      <w:bodyDiv w:val="1"/>
      <w:marLeft w:val="0"/>
      <w:marRight w:val="0"/>
      <w:marTop w:val="0"/>
      <w:marBottom w:val="0"/>
      <w:divBdr>
        <w:top w:val="none" w:sz="0" w:space="0" w:color="auto"/>
        <w:left w:val="none" w:sz="0" w:space="0" w:color="auto"/>
        <w:bottom w:val="none" w:sz="0" w:space="0" w:color="auto"/>
        <w:right w:val="none" w:sz="0" w:space="0" w:color="auto"/>
      </w:divBdr>
    </w:div>
    <w:div w:id="395590186">
      <w:bodyDiv w:val="1"/>
      <w:marLeft w:val="0"/>
      <w:marRight w:val="0"/>
      <w:marTop w:val="0"/>
      <w:marBottom w:val="0"/>
      <w:divBdr>
        <w:top w:val="none" w:sz="0" w:space="0" w:color="auto"/>
        <w:left w:val="none" w:sz="0" w:space="0" w:color="auto"/>
        <w:bottom w:val="none" w:sz="0" w:space="0" w:color="auto"/>
        <w:right w:val="none" w:sz="0" w:space="0" w:color="auto"/>
      </w:divBdr>
    </w:div>
    <w:div w:id="428741379">
      <w:bodyDiv w:val="1"/>
      <w:marLeft w:val="0"/>
      <w:marRight w:val="0"/>
      <w:marTop w:val="0"/>
      <w:marBottom w:val="0"/>
      <w:divBdr>
        <w:top w:val="none" w:sz="0" w:space="0" w:color="auto"/>
        <w:left w:val="none" w:sz="0" w:space="0" w:color="auto"/>
        <w:bottom w:val="none" w:sz="0" w:space="0" w:color="auto"/>
        <w:right w:val="none" w:sz="0" w:space="0" w:color="auto"/>
      </w:divBdr>
    </w:div>
    <w:div w:id="439036642">
      <w:bodyDiv w:val="1"/>
      <w:marLeft w:val="0"/>
      <w:marRight w:val="0"/>
      <w:marTop w:val="0"/>
      <w:marBottom w:val="0"/>
      <w:divBdr>
        <w:top w:val="none" w:sz="0" w:space="0" w:color="auto"/>
        <w:left w:val="none" w:sz="0" w:space="0" w:color="auto"/>
        <w:bottom w:val="none" w:sz="0" w:space="0" w:color="auto"/>
        <w:right w:val="none" w:sz="0" w:space="0" w:color="auto"/>
      </w:divBdr>
    </w:div>
    <w:div w:id="465902700">
      <w:bodyDiv w:val="1"/>
      <w:marLeft w:val="0"/>
      <w:marRight w:val="0"/>
      <w:marTop w:val="0"/>
      <w:marBottom w:val="0"/>
      <w:divBdr>
        <w:top w:val="none" w:sz="0" w:space="0" w:color="auto"/>
        <w:left w:val="none" w:sz="0" w:space="0" w:color="auto"/>
        <w:bottom w:val="none" w:sz="0" w:space="0" w:color="auto"/>
        <w:right w:val="none" w:sz="0" w:space="0" w:color="auto"/>
      </w:divBdr>
    </w:div>
    <w:div w:id="485828727">
      <w:bodyDiv w:val="1"/>
      <w:marLeft w:val="0"/>
      <w:marRight w:val="0"/>
      <w:marTop w:val="0"/>
      <w:marBottom w:val="0"/>
      <w:divBdr>
        <w:top w:val="none" w:sz="0" w:space="0" w:color="auto"/>
        <w:left w:val="none" w:sz="0" w:space="0" w:color="auto"/>
        <w:bottom w:val="none" w:sz="0" w:space="0" w:color="auto"/>
        <w:right w:val="none" w:sz="0" w:space="0" w:color="auto"/>
      </w:divBdr>
    </w:div>
    <w:div w:id="535509927">
      <w:bodyDiv w:val="1"/>
      <w:marLeft w:val="0"/>
      <w:marRight w:val="0"/>
      <w:marTop w:val="0"/>
      <w:marBottom w:val="0"/>
      <w:divBdr>
        <w:top w:val="none" w:sz="0" w:space="0" w:color="auto"/>
        <w:left w:val="none" w:sz="0" w:space="0" w:color="auto"/>
        <w:bottom w:val="none" w:sz="0" w:space="0" w:color="auto"/>
        <w:right w:val="none" w:sz="0" w:space="0" w:color="auto"/>
      </w:divBdr>
    </w:div>
    <w:div w:id="546186059">
      <w:bodyDiv w:val="1"/>
      <w:marLeft w:val="0"/>
      <w:marRight w:val="0"/>
      <w:marTop w:val="0"/>
      <w:marBottom w:val="0"/>
      <w:divBdr>
        <w:top w:val="none" w:sz="0" w:space="0" w:color="auto"/>
        <w:left w:val="none" w:sz="0" w:space="0" w:color="auto"/>
        <w:bottom w:val="none" w:sz="0" w:space="0" w:color="auto"/>
        <w:right w:val="none" w:sz="0" w:space="0" w:color="auto"/>
      </w:divBdr>
    </w:div>
    <w:div w:id="570848595">
      <w:bodyDiv w:val="1"/>
      <w:marLeft w:val="0"/>
      <w:marRight w:val="0"/>
      <w:marTop w:val="0"/>
      <w:marBottom w:val="0"/>
      <w:divBdr>
        <w:top w:val="none" w:sz="0" w:space="0" w:color="auto"/>
        <w:left w:val="none" w:sz="0" w:space="0" w:color="auto"/>
        <w:bottom w:val="none" w:sz="0" w:space="0" w:color="auto"/>
        <w:right w:val="none" w:sz="0" w:space="0" w:color="auto"/>
      </w:divBdr>
    </w:div>
    <w:div w:id="605691886">
      <w:bodyDiv w:val="1"/>
      <w:marLeft w:val="0"/>
      <w:marRight w:val="0"/>
      <w:marTop w:val="0"/>
      <w:marBottom w:val="0"/>
      <w:divBdr>
        <w:top w:val="none" w:sz="0" w:space="0" w:color="auto"/>
        <w:left w:val="none" w:sz="0" w:space="0" w:color="auto"/>
        <w:bottom w:val="none" w:sz="0" w:space="0" w:color="auto"/>
        <w:right w:val="none" w:sz="0" w:space="0" w:color="auto"/>
      </w:divBdr>
    </w:div>
    <w:div w:id="619144280">
      <w:bodyDiv w:val="1"/>
      <w:marLeft w:val="0"/>
      <w:marRight w:val="0"/>
      <w:marTop w:val="0"/>
      <w:marBottom w:val="0"/>
      <w:divBdr>
        <w:top w:val="none" w:sz="0" w:space="0" w:color="auto"/>
        <w:left w:val="none" w:sz="0" w:space="0" w:color="auto"/>
        <w:bottom w:val="none" w:sz="0" w:space="0" w:color="auto"/>
        <w:right w:val="none" w:sz="0" w:space="0" w:color="auto"/>
      </w:divBdr>
    </w:div>
    <w:div w:id="636762550">
      <w:bodyDiv w:val="1"/>
      <w:marLeft w:val="0"/>
      <w:marRight w:val="0"/>
      <w:marTop w:val="0"/>
      <w:marBottom w:val="0"/>
      <w:divBdr>
        <w:top w:val="none" w:sz="0" w:space="0" w:color="auto"/>
        <w:left w:val="none" w:sz="0" w:space="0" w:color="auto"/>
        <w:bottom w:val="none" w:sz="0" w:space="0" w:color="auto"/>
        <w:right w:val="none" w:sz="0" w:space="0" w:color="auto"/>
      </w:divBdr>
    </w:div>
    <w:div w:id="713427114">
      <w:bodyDiv w:val="1"/>
      <w:marLeft w:val="0"/>
      <w:marRight w:val="0"/>
      <w:marTop w:val="0"/>
      <w:marBottom w:val="0"/>
      <w:divBdr>
        <w:top w:val="none" w:sz="0" w:space="0" w:color="auto"/>
        <w:left w:val="none" w:sz="0" w:space="0" w:color="auto"/>
        <w:bottom w:val="none" w:sz="0" w:space="0" w:color="auto"/>
        <w:right w:val="none" w:sz="0" w:space="0" w:color="auto"/>
      </w:divBdr>
    </w:div>
    <w:div w:id="754283476">
      <w:bodyDiv w:val="1"/>
      <w:marLeft w:val="0"/>
      <w:marRight w:val="0"/>
      <w:marTop w:val="0"/>
      <w:marBottom w:val="0"/>
      <w:divBdr>
        <w:top w:val="none" w:sz="0" w:space="0" w:color="auto"/>
        <w:left w:val="none" w:sz="0" w:space="0" w:color="auto"/>
        <w:bottom w:val="none" w:sz="0" w:space="0" w:color="auto"/>
        <w:right w:val="none" w:sz="0" w:space="0" w:color="auto"/>
      </w:divBdr>
    </w:div>
    <w:div w:id="778137160">
      <w:bodyDiv w:val="1"/>
      <w:marLeft w:val="0"/>
      <w:marRight w:val="0"/>
      <w:marTop w:val="0"/>
      <w:marBottom w:val="0"/>
      <w:divBdr>
        <w:top w:val="none" w:sz="0" w:space="0" w:color="auto"/>
        <w:left w:val="none" w:sz="0" w:space="0" w:color="auto"/>
        <w:bottom w:val="none" w:sz="0" w:space="0" w:color="auto"/>
        <w:right w:val="none" w:sz="0" w:space="0" w:color="auto"/>
      </w:divBdr>
    </w:div>
    <w:div w:id="822352165">
      <w:bodyDiv w:val="1"/>
      <w:marLeft w:val="0"/>
      <w:marRight w:val="0"/>
      <w:marTop w:val="0"/>
      <w:marBottom w:val="0"/>
      <w:divBdr>
        <w:top w:val="none" w:sz="0" w:space="0" w:color="auto"/>
        <w:left w:val="none" w:sz="0" w:space="0" w:color="auto"/>
        <w:bottom w:val="none" w:sz="0" w:space="0" w:color="auto"/>
        <w:right w:val="none" w:sz="0" w:space="0" w:color="auto"/>
      </w:divBdr>
      <w:divsChild>
        <w:div w:id="248538448">
          <w:marLeft w:val="576"/>
          <w:marRight w:val="0"/>
          <w:marTop w:val="160"/>
          <w:marBottom w:val="0"/>
          <w:divBdr>
            <w:top w:val="none" w:sz="0" w:space="0" w:color="auto"/>
            <w:left w:val="none" w:sz="0" w:space="0" w:color="auto"/>
            <w:bottom w:val="none" w:sz="0" w:space="0" w:color="auto"/>
            <w:right w:val="none" w:sz="0" w:space="0" w:color="auto"/>
          </w:divBdr>
        </w:div>
        <w:div w:id="469980777">
          <w:marLeft w:val="576"/>
          <w:marRight w:val="0"/>
          <w:marTop w:val="160"/>
          <w:marBottom w:val="0"/>
          <w:divBdr>
            <w:top w:val="none" w:sz="0" w:space="0" w:color="auto"/>
            <w:left w:val="none" w:sz="0" w:space="0" w:color="auto"/>
            <w:bottom w:val="none" w:sz="0" w:space="0" w:color="auto"/>
            <w:right w:val="none" w:sz="0" w:space="0" w:color="auto"/>
          </w:divBdr>
        </w:div>
        <w:div w:id="759906443">
          <w:marLeft w:val="576"/>
          <w:marRight w:val="0"/>
          <w:marTop w:val="160"/>
          <w:marBottom w:val="0"/>
          <w:divBdr>
            <w:top w:val="none" w:sz="0" w:space="0" w:color="auto"/>
            <w:left w:val="none" w:sz="0" w:space="0" w:color="auto"/>
            <w:bottom w:val="none" w:sz="0" w:space="0" w:color="auto"/>
            <w:right w:val="none" w:sz="0" w:space="0" w:color="auto"/>
          </w:divBdr>
        </w:div>
        <w:div w:id="917789270">
          <w:marLeft w:val="576"/>
          <w:marRight w:val="0"/>
          <w:marTop w:val="160"/>
          <w:marBottom w:val="0"/>
          <w:divBdr>
            <w:top w:val="none" w:sz="0" w:space="0" w:color="auto"/>
            <w:left w:val="none" w:sz="0" w:space="0" w:color="auto"/>
            <w:bottom w:val="none" w:sz="0" w:space="0" w:color="auto"/>
            <w:right w:val="none" w:sz="0" w:space="0" w:color="auto"/>
          </w:divBdr>
        </w:div>
        <w:div w:id="942146237">
          <w:marLeft w:val="576"/>
          <w:marRight w:val="0"/>
          <w:marTop w:val="160"/>
          <w:marBottom w:val="0"/>
          <w:divBdr>
            <w:top w:val="none" w:sz="0" w:space="0" w:color="auto"/>
            <w:left w:val="none" w:sz="0" w:space="0" w:color="auto"/>
            <w:bottom w:val="none" w:sz="0" w:space="0" w:color="auto"/>
            <w:right w:val="none" w:sz="0" w:space="0" w:color="auto"/>
          </w:divBdr>
        </w:div>
        <w:div w:id="985938291">
          <w:marLeft w:val="576"/>
          <w:marRight w:val="0"/>
          <w:marTop w:val="160"/>
          <w:marBottom w:val="0"/>
          <w:divBdr>
            <w:top w:val="none" w:sz="0" w:space="0" w:color="auto"/>
            <w:left w:val="none" w:sz="0" w:space="0" w:color="auto"/>
            <w:bottom w:val="none" w:sz="0" w:space="0" w:color="auto"/>
            <w:right w:val="none" w:sz="0" w:space="0" w:color="auto"/>
          </w:divBdr>
        </w:div>
        <w:div w:id="1237129566">
          <w:marLeft w:val="576"/>
          <w:marRight w:val="0"/>
          <w:marTop w:val="160"/>
          <w:marBottom w:val="0"/>
          <w:divBdr>
            <w:top w:val="none" w:sz="0" w:space="0" w:color="auto"/>
            <w:left w:val="none" w:sz="0" w:space="0" w:color="auto"/>
            <w:bottom w:val="none" w:sz="0" w:space="0" w:color="auto"/>
            <w:right w:val="none" w:sz="0" w:space="0" w:color="auto"/>
          </w:divBdr>
        </w:div>
        <w:div w:id="1399982396">
          <w:marLeft w:val="576"/>
          <w:marRight w:val="0"/>
          <w:marTop w:val="160"/>
          <w:marBottom w:val="0"/>
          <w:divBdr>
            <w:top w:val="none" w:sz="0" w:space="0" w:color="auto"/>
            <w:left w:val="none" w:sz="0" w:space="0" w:color="auto"/>
            <w:bottom w:val="none" w:sz="0" w:space="0" w:color="auto"/>
            <w:right w:val="none" w:sz="0" w:space="0" w:color="auto"/>
          </w:divBdr>
        </w:div>
      </w:divsChild>
    </w:div>
    <w:div w:id="865564112">
      <w:bodyDiv w:val="1"/>
      <w:marLeft w:val="0"/>
      <w:marRight w:val="0"/>
      <w:marTop w:val="0"/>
      <w:marBottom w:val="0"/>
      <w:divBdr>
        <w:top w:val="none" w:sz="0" w:space="0" w:color="auto"/>
        <w:left w:val="none" w:sz="0" w:space="0" w:color="auto"/>
        <w:bottom w:val="none" w:sz="0" w:space="0" w:color="auto"/>
        <w:right w:val="none" w:sz="0" w:space="0" w:color="auto"/>
      </w:divBdr>
    </w:div>
    <w:div w:id="868761567">
      <w:bodyDiv w:val="1"/>
      <w:marLeft w:val="0"/>
      <w:marRight w:val="0"/>
      <w:marTop w:val="0"/>
      <w:marBottom w:val="0"/>
      <w:divBdr>
        <w:top w:val="none" w:sz="0" w:space="0" w:color="auto"/>
        <w:left w:val="none" w:sz="0" w:space="0" w:color="auto"/>
        <w:bottom w:val="none" w:sz="0" w:space="0" w:color="auto"/>
        <w:right w:val="none" w:sz="0" w:space="0" w:color="auto"/>
      </w:divBdr>
    </w:div>
    <w:div w:id="926575154">
      <w:bodyDiv w:val="1"/>
      <w:marLeft w:val="0"/>
      <w:marRight w:val="0"/>
      <w:marTop w:val="0"/>
      <w:marBottom w:val="0"/>
      <w:divBdr>
        <w:top w:val="none" w:sz="0" w:space="0" w:color="auto"/>
        <w:left w:val="none" w:sz="0" w:space="0" w:color="auto"/>
        <w:bottom w:val="none" w:sz="0" w:space="0" w:color="auto"/>
        <w:right w:val="none" w:sz="0" w:space="0" w:color="auto"/>
      </w:divBdr>
    </w:div>
    <w:div w:id="957680243">
      <w:bodyDiv w:val="1"/>
      <w:marLeft w:val="0"/>
      <w:marRight w:val="0"/>
      <w:marTop w:val="0"/>
      <w:marBottom w:val="0"/>
      <w:divBdr>
        <w:top w:val="none" w:sz="0" w:space="0" w:color="auto"/>
        <w:left w:val="none" w:sz="0" w:space="0" w:color="auto"/>
        <w:bottom w:val="none" w:sz="0" w:space="0" w:color="auto"/>
        <w:right w:val="none" w:sz="0" w:space="0" w:color="auto"/>
      </w:divBdr>
    </w:div>
    <w:div w:id="958606018">
      <w:bodyDiv w:val="1"/>
      <w:marLeft w:val="0"/>
      <w:marRight w:val="0"/>
      <w:marTop w:val="0"/>
      <w:marBottom w:val="0"/>
      <w:divBdr>
        <w:top w:val="none" w:sz="0" w:space="0" w:color="auto"/>
        <w:left w:val="none" w:sz="0" w:space="0" w:color="auto"/>
        <w:bottom w:val="none" w:sz="0" w:space="0" w:color="auto"/>
        <w:right w:val="none" w:sz="0" w:space="0" w:color="auto"/>
      </w:divBdr>
    </w:div>
    <w:div w:id="1106654652">
      <w:bodyDiv w:val="1"/>
      <w:marLeft w:val="0"/>
      <w:marRight w:val="0"/>
      <w:marTop w:val="0"/>
      <w:marBottom w:val="0"/>
      <w:divBdr>
        <w:top w:val="none" w:sz="0" w:space="0" w:color="auto"/>
        <w:left w:val="none" w:sz="0" w:space="0" w:color="auto"/>
        <w:bottom w:val="none" w:sz="0" w:space="0" w:color="auto"/>
        <w:right w:val="none" w:sz="0" w:space="0" w:color="auto"/>
      </w:divBdr>
      <w:divsChild>
        <w:div w:id="172572734">
          <w:marLeft w:val="576"/>
          <w:marRight w:val="0"/>
          <w:marTop w:val="160"/>
          <w:marBottom w:val="0"/>
          <w:divBdr>
            <w:top w:val="none" w:sz="0" w:space="0" w:color="auto"/>
            <w:left w:val="none" w:sz="0" w:space="0" w:color="auto"/>
            <w:bottom w:val="none" w:sz="0" w:space="0" w:color="auto"/>
            <w:right w:val="none" w:sz="0" w:space="0" w:color="auto"/>
          </w:divBdr>
        </w:div>
        <w:div w:id="195852542">
          <w:marLeft w:val="576"/>
          <w:marRight w:val="0"/>
          <w:marTop w:val="160"/>
          <w:marBottom w:val="0"/>
          <w:divBdr>
            <w:top w:val="none" w:sz="0" w:space="0" w:color="auto"/>
            <w:left w:val="none" w:sz="0" w:space="0" w:color="auto"/>
            <w:bottom w:val="none" w:sz="0" w:space="0" w:color="auto"/>
            <w:right w:val="none" w:sz="0" w:space="0" w:color="auto"/>
          </w:divBdr>
        </w:div>
        <w:div w:id="873999365">
          <w:marLeft w:val="288"/>
          <w:marRight w:val="0"/>
          <w:marTop w:val="160"/>
          <w:marBottom w:val="0"/>
          <w:divBdr>
            <w:top w:val="none" w:sz="0" w:space="0" w:color="auto"/>
            <w:left w:val="none" w:sz="0" w:space="0" w:color="auto"/>
            <w:bottom w:val="none" w:sz="0" w:space="0" w:color="auto"/>
            <w:right w:val="none" w:sz="0" w:space="0" w:color="auto"/>
          </w:divBdr>
        </w:div>
        <w:div w:id="946229523">
          <w:marLeft w:val="288"/>
          <w:marRight w:val="0"/>
          <w:marTop w:val="160"/>
          <w:marBottom w:val="0"/>
          <w:divBdr>
            <w:top w:val="none" w:sz="0" w:space="0" w:color="auto"/>
            <w:left w:val="none" w:sz="0" w:space="0" w:color="auto"/>
            <w:bottom w:val="none" w:sz="0" w:space="0" w:color="auto"/>
            <w:right w:val="none" w:sz="0" w:space="0" w:color="auto"/>
          </w:divBdr>
        </w:div>
        <w:div w:id="1721515031">
          <w:marLeft w:val="288"/>
          <w:marRight w:val="0"/>
          <w:marTop w:val="160"/>
          <w:marBottom w:val="0"/>
          <w:divBdr>
            <w:top w:val="none" w:sz="0" w:space="0" w:color="auto"/>
            <w:left w:val="none" w:sz="0" w:space="0" w:color="auto"/>
            <w:bottom w:val="none" w:sz="0" w:space="0" w:color="auto"/>
            <w:right w:val="none" w:sz="0" w:space="0" w:color="auto"/>
          </w:divBdr>
        </w:div>
        <w:div w:id="1908300123">
          <w:marLeft w:val="576"/>
          <w:marRight w:val="0"/>
          <w:marTop w:val="160"/>
          <w:marBottom w:val="0"/>
          <w:divBdr>
            <w:top w:val="none" w:sz="0" w:space="0" w:color="auto"/>
            <w:left w:val="none" w:sz="0" w:space="0" w:color="auto"/>
            <w:bottom w:val="none" w:sz="0" w:space="0" w:color="auto"/>
            <w:right w:val="none" w:sz="0" w:space="0" w:color="auto"/>
          </w:divBdr>
        </w:div>
        <w:div w:id="1927152796">
          <w:marLeft w:val="288"/>
          <w:marRight w:val="0"/>
          <w:marTop w:val="160"/>
          <w:marBottom w:val="0"/>
          <w:divBdr>
            <w:top w:val="none" w:sz="0" w:space="0" w:color="auto"/>
            <w:left w:val="none" w:sz="0" w:space="0" w:color="auto"/>
            <w:bottom w:val="none" w:sz="0" w:space="0" w:color="auto"/>
            <w:right w:val="none" w:sz="0" w:space="0" w:color="auto"/>
          </w:divBdr>
        </w:div>
      </w:divsChild>
    </w:div>
    <w:div w:id="1157259123">
      <w:bodyDiv w:val="1"/>
      <w:marLeft w:val="0"/>
      <w:marRight w:val="0"/>
      <w:marTop w:val="0"/>
      <w:marBottom w:val="0"/>
      <w:divBdr>
        <w:top w:val="none" w:sz="0" w:space="0" w:color="auto"/>
        <w:left w:val="none" w:sz="0" w:space="0" w:color="auto"/>
        <w:bottom w:val="none" w:sz="0" w:space="0" w:color="auto"/>
        <w:right w:val="none" w:sz="0" w:space="0" w:color="auto"/>
      </w:divBdr>
    </w:div>
    <w:div w:id="1368487880">
      <w:bodyDiv w:val="1"/>
      <w:marLeft w:val="0"/>
      <w:marRight w:val="0"/>
      <w:marTop w:val="0"/>
      <w:marBottom w:val="0"/>
      <w:divBdr>
        <w:top w:val="none" w:sz="0" w:space="0" w:color="auto"/>
        <w:left w:val="none" w:sz="0" w:space="0" w:color="auto"/>
        <w:bottom w:val="none" w:sz="0" w:space="0" w:color="auto"/>
        <w:right w:val="none" w:sz="0" w:space="0" w:color="auto"/>
      </w:divBdr>
      <w:divsChild>
        <w:div w:id="1107656218">
          <w:marLeft w:val="720"/>
          <w:marRight w:val="0"/>
          <w:marTop w:val="0"/>
          <w:marBottom w:val="0"/>
          <w:divBdr>
            <w:top w:val="none" w:sz="0" w:space="0" w:color="auto"/>
            <w:left w:val="none" w:sz="0" w:space="0" w:color="auto"/>
            <w:bottom w:val="none" w:sz="0" w:space="0" w:color="auto"/>
            <w:right w:val="none" w:sz="0" w:space="0" w:color="auto"/>
          </w:divBdr>
        </w:div>
        <w:div w:id="1448085909">
          <w:marLeft w:val="288"/>
          <w:marRight w:val="0"/>
          <w:marTop w:val="160"/>
          <w:marBottom w:val="0"/>
          <w:divBdr>
            <w:top w:val="none" w:sz="0" w:space="0" w:color="auto"/>
            <w:left w:val="none" w:sz="0" w:space="0" w:color="auto"/>
            <w:bottom w:val="none" w:sz="0" w:space="0" w:color="auto"/>
            <w:right w:val="none" w:sz="0" w:space="0" w:color="auto"/>
          </w:divBdr>
        </w:div>
      </w:divsChild>
    </w:div>
    <w:div w:id="1435442547">
      <w:bodyDiv w:val="1"/>
      <w:marLeft w:val="0"/>
      <w:marRight w:val="0"/>
      <w:marTop w:val="0"/>
      <w:marBottom w:val="0"/>
      <w:divBdr>
        <w:top w:val="none" w:sz="0" w:space="0" w:color="auto"/>
        <w:left w:val="none" w:sz="0" w:space="0" w:color="auto"/>
        <w:bottom w:val="none" w:sz="0" w:space="0" w:color="auto"/>
        <w:right w:val="none" w:sz="0" w:space="0" w:color="auto"/>
      </w:divBdr>
      <w:divsChild>
        <w:div w:id="773325235">
          <w:marLeft w:val="850"/>
          <w:marRight w:val="0"/>
          <w:marTop w:val="0"/>
          <w:marBottom w:val="0"/>
          <w:divBdr>
            <w:top w:val="none" w:sz="0" w:space="0" w:color="auto"/>
            <w:left w:val="none" w:sz="0" w:space="0" w:color="auto"/>
            <w:bottom w:val="none" w:sz="0" w:space="0" w:color="auto"/>
            <w:right w:val="none" w:sz="0" w:space="0" w:color="auto"/>
          </w:divBdr>
        </w:div>
        <w:div w:id="1001159030">
          <w:marLeft w:val="850"/>
          <w:marRight w:val="0"/>
          <w:marTop w:val="0"/>
          <w:marBottom w:val="0"/>
          <w:divBdr>
            <w:top w:val="none" w:sz="0" w:space="0" w:color="auto"/>
            <w:left w:val="none" w:sz="0" w:space="0" w:color="auto"/>
            <w:bottom w:val="none" w:sz="0" w:space="0" w:color="auto"/>
            <w:right w:val="none" w:sz="0" w:space="0" w:color="auto"/>
          </w:divBdr>
        </w:div>
        <w:div w:id="1143084440">
          <w:marLeft w:val="850"/>
          <w:marRight w:val="0"/>
          <w:marTop w:val="0"/>
          <w:marBottom w:val="0"/>
          <w:divBdr>
            <w:top w:val="none" w:sz="0" w:space="0" w:color="auto"/>
            <w:left w:val="none" w:sz="0" w:space="0" w:color="auto"/>
            <w:bottom w:val="none" w:sz="0" w:space="0" w:color="auto"/>
            <w:right w:val="none" w:sz="0" w:space="0" w:color="auto"/>
          </w:divBdr>
        </w:div>
        <w:div w:id="1625622010">
          <w:marLeft w:val="850"/>
          <w:marRight w:val="0"/>
          <w:marTop w:val="0"/>
          <w:marBottom w:val="0"/>
          <w:divBdr>
            <w:top w:val="none" w:sz="0" w:space="0" w:color="auto"/>
            <w:left w:val="none" w:sz="0" w:space="0" w:color="auto"/>
            <w:bottom w:val="none" w:sz="0" w:space="0" w:color="auto"/>
            <w:right w:val="none" w:sz="0" w:space="0" w:color="auto"/>
          </w:divBdr>
        </w:div>
      </w:divsChild>
    </w:div>
    <w:div w:id="1498227514">
      <w:bodyDiv w:val="1"/>
      <w:marLeft w:val="0"/>
      <w:marRight w:val="0"/>
      <w:marTop w:val="0"/>
      <w:marBottom w:val="0"/>
      <w:divBdr>
        <w:top w:val="none" w:sz="0" w:space="0" w:color="auto"/>
        <w:left w:val="none" w:sz="0" w:space="0" w:color="auto"/>
        <w:bottom w:val="none" w:sz="0" w:space="0" w:color="auto"/>
        <w:right w:val="none" w:sz="0" w:space="0" w:color="auto"/>
      </w:divBdr>
      <w:divsChild>
        <w:div w:id="560020108">
          <w:marLeft w:val="850"/>
          <w:marRight w:val="0"/>
          <w:marTop w:val="0"/>
          <w:marBottom w:val="0"/>
          <w:divBdr>
            <w:top w:val="none" w:sz="0" w:space="0" w:color="auto"/>
            <w:left w:val="none" w:sz="0" w:space="0" w:color="auto"/>
            <w:bottom w:val="none" w:sz="0" w:space="0" w:color="auto"/>
            <w:right w:val="none" w:sz="0" w:space="0" w:color="auto"/>
          </w:divBdr>
        </w:div>
        <w:div w:id="853609757">
          <w:marLeft w:val="850"/>
          <w:marRight w:val="0"/>
          <w:marTop w:val="0"/>
          <w:marBottom w:val="0"/>
          <w:divBdr>
            <w:top w:val="none" w:sz="0" w:space="0" w:color="auto"/>
            <w:left w:val="none" w:sz="0" w:space="0" w:color="auto"/>
            <w:bottom w:val="none" w:sz="0" w:space="0" w:color="auto"/>
            <w:right w:val="none" w:sz="0" w:space="0" w:color="auto"/>
          </w:divBdr>
        </w:div>
        <w:div w:id="1022825180">
          <w:marLeft w:val="850"/>
          <w:marRight w:val="0"/>
          <w:marTop w:val="0"/>
          <w:marBottom w:val="0"/>
          <w:divBdr>
            <w:top w:val="none" w:sz="0" w:space="0" w:color="auto"/>
            <w:left w:val="none" w:sz="0" w:space="0" w:color="auto"/>
            <w:bottom w:val="none" w:sz="0" w:space="0" w:color="auto"/>
            <w:right w:val="none" w:sz="0" w:space="0" w:color="auto"/>
          </w:divBdr>
        </w:div>
        <w:div w:id="1215849291">
          <w:marLeft w:val="850"/>
          <w:marRight w:val="0"/>
          <w:marTop w:val="0"/>
          <w:marBottom w:val="0"/>
          <w:divBdr>
            <w:top w:val="none" w:sz="0" w:space="0" w:color="auto"/>
            <w:left w:val="none" w:sz="0" w:space="0" w:color="auto"/>
            <w:bottom w:val="none" w:sz="0" w:space="0" w:color="auto"/>
            <w:right w:val="none" w:sz="0" w:space="0" w:color="auto"/>
          </w:divBdr>
        </w:div>
        <w:div w:id="1526090182">
          <w:marLeft w:val="850"/>
          <w:marRight w:val="0"/>
          <w:marTop w:val="0"/>
          <w:marBottom w:val="0"/>
          <w:divBdr>
            <w:top w:val="none" w:sz="0" w:space="0" w:color="auto"/>
            <w:left w:val="none" w:sz="0" w:space="0" w:color="auto"/>
            <w:bottom w:val="none" w:sz="0" w:space="0" w:color="auto"/>
            <w:right w:val="none" w:sz="0" w:space="0" w:color="auto"/>
          </w:divBdr>
        </w:div>
      </w:divsChild>
    </w:div>
    <w:div w:id="1582174559">
      <w:bodyDiv w:val="1"/>
      <w:marLeft w:val="0"/>
      <w:marRight w:val="0"/>
      <w:marTop w:val="0"/>
      <w:marBottom w:val="0"/>
      <w:divBdr>
        <w:top w:val="none" w:sz="0" w:space="0" w:color="auto"/>
        <w:left w:val="none" w:sz="0" w:space="0" w:color="auto"/>
        <w:bottom w:val="none" w:sz="0" w:space="0" w:color="auto"/>
        <w:right w:val="none" w:sz="0" w:space="0" w:color="auto"/>
      </w:divBdr>
    </w:div>
    <w:div w:id="1618757012">
      <w:bodyDiv w:val="1"/>
      <w:marLeft w:val="0"/>
      <w:marRight w:val="0"/>
      <w:marTop w:val="0"/>
      <w:marBottom w:val="0"/>
      <w:divBdr>
        <w:top w:val="none" w:sz="0" w:space="0" w:color="auto"/>
        <w:left w:val="none" w:sz="0" w:space="0" w:color="auto"/>
        <w:bottom w:val="none" w:sz="0" w:space="0" w:color="auto"/>
        <w:right w:val="none" w:sz="0" w:space="0" w:color="auto"/>
      </w:divBdr>
      <w:divsChild>
        <w:div w:id="140074233">
          <w:marLeft w:val="576"/>
          <w:marRight w:val="0"/>
          <w:marTop w:val="0"/>
          <w:marBottom w:val="0"/>
          <w:divBdr>
            <w:top w:val="none" w:sz="0" w:space="0" w:color="auto"/>
            <w:left w:val="none" w:sz="0" w:space="0" w:color="auto"/>
            <w:bottom w:val="none" w:sz="0" w:space="0" w:color="auto"/>
            <w:right w:val="none" w:sz="0" w:space="0" w:color="auto"/>
          </w:divBdr>
        </w:div>
        <w:div w:id="690686444">
          <w:marLeft w:val="288"/>
          <w:marRight w:val="0"/>
          <w:marTop w:val="160"/>
          <w:marBottom w:val="0"/>
          <w:divBdr>
            <w:top w:val="none" w:sz="0" w:space="0" w:color="auto"/>
            <w:left w:val="none" w:sz="0" w:space="0" w:color="auto"/>
            <w:bottom w:val="none" w:sz="0" w:space="0" w:color="auto"/>
            <w:right w:val="none" w:sz="0" w:space="0" w:color="auto"/>
          </w:divBdr>
        </w:div>
      </w:divsChild>
    </w:div>
    <w:div w:id="1623919049">
      <w:bodyDiv w:val="1"/>
      <w:marLeft w:val="0"/>
      <w:marRight w:val="0"/>
      <w:marTop w:val="0"/>
      <w:marBottom w:val="0"/>
      <w:divBdr>
        <w:top w:val="none" w:sz="0" w:space="0" w:color="auto"/>
        <w:left w:val="none" w:sz="0" w:space="0" w:color="auto"/>
        <w:bottom w:val="none" w:sz="0" w:space="0" w:color="auto"/>
        <w:right w:val="none" w:sz="0" w:space="0" w:color="auto"/>
      </w:divBdr>
    </w:div>
    <w:div w:id="1645741150">
      <w:bodyDiv w:val="1"/>
      <w:marLeft w:val="0"/>
      <w:marRight w:val="0"/>
      <w:marTop w:val="0"/>
      <w:marBottom w:val="0"/>
      <w:divBdr>
        <w:top w:val="none" w:sz="0" w:space="0" w:color="auto"/>
        <w:left w:val="none" w:sz="0" w:space="0" w:color="auto"/>
        <w:bottom w:val="none" w:sz="0" w:space="0" w:color="auto"/>
        <w:right w:val="none" w:sz="0" w:space="0" w:color="auto"/>
      </w:divBdr>
    </w:div>
    <w:div w:id="1707102514">
      <w:bodyDiv w:val="1"/>
      <w:marLeft w:val="0"/>
      <w:marRight w:val="0"/>
      <w:marTop w:val="0"/>
      <w:marBottom w:val="0"/>
      <w:divBdr>
        <w:top w:val="none" w:sz="0" w:space="0" w:color="auto"/>
        <w:left w:val="none" w:sz="0" w:space="0" w:color="auto"/>
        <w:bottom w:val="none" w:sz="0" w:space="0" w:color="auto"/>
        <w:right w:val="none" w:sz="0" w:space="0" w:color="auto"/>
      </w:divBdr>
    </w:div>
    <w:div w:id="1813138527">
      <w:bodyDiv w:val="1"/>
      <w:marLeft w:val="0"/>
      <w:marRight w:val="0"/>
      <w:marTop w:val="0"/>
      <w:marBottom w:val="0"/>
      <w:divBdr>
        <w:top w:val="none" w:sz="0" w:space="0" w:color="auto"/>
        <w:left w:val="none" w:sz="0" w:space="0" w:color="auto"/>
        <w:bottom w:val="none" w:sz="0" w:space="0" w:color="auto"/>
        <w:right w:val="none" w:sz="0" w:space="0" w:color="auto"/>
      </w:divBdr>
    </w:div>
    <w:div w:id="1878347555">
      <w:bodyDiv w:val="1"/>
      <w:marLeft w:val="0"/>
      <w:marRight w:val="0"/>
      <w:marTop w:val="0"/>
      <w:marBottom w:val="0"/>
      <w:divBdr>
        <w:top w:val="none" w:sz="0" w:space="0" w:color="auto"/>
        <w:left w:val="none" w:sz="0" w:space="0" w:color="auto"/>
        <w:bottom w:val="none" w:sz="0" w:space="0" w:color="auto"/>
        <w:right w:val="none" w:sz="0" w:space="0" w:color="auto"/>
      </w:divBdr>
      <w:divsChild>
        <w:div w:id="19015079">
          <w:marLeft w:val="835"/>
          <w:marRight w:val="0"/>
          <w:marTop w:val="0"/>
          <w:marBottom w:val="0"/>
          <w:divBdr>
            <w:top w:val="none" w:sz="0" w:space="0" w:color="auto"/>
            <w:left w:val="none" w:sz="0" w:space="0" w:color="auto"/>
            <w:bottom w:val="none" w:sz="0" w:space="0" w:color="auto"/>
            <w:right w:val="none" w:sz="0" w:space="0" w:color="auto"/>
          </w:divBdr>
        </w:div>
        <w:div w:id="391121398">
          <w:marLeft w:val="835"/>
          <w:marRight w:val="0"/>
          <w:marTop w:val="0"/>
          <w:marBottom w:val="0"/>
          <w:divBdr>
            <w:top w:val="none" w:sz="0" w:space="0" w:color="auto"/>
            <w:left w:val="none" w:sz="0" w:space="0" w:color="auto"/>
            <w:bottom w:val="none" w:sz="0" w:space="0" w:color="auto"/>
            <w:right w:val="none" w:sz="0" w:space="0" w:color="auto"/>
          </w:divBdr>
        </w:div>
        <w:div w:id="1008602314">
          <w:marLeft w:val="835"/>
          <w:marRight w:val="0"/>
          <w:marTop w:val="0"/>
          <w:marBottom w:val="0"/>
          <w:divBdr>
            <w:top w:val="none" w:sz="0" w:space="0" w:color="auto"/>
            <w:left w:val="none" w:sz="0" w:space="0" w:color="auto"/>
            <w:bottom w:val="none" w:sz="0" w:space="0" w:color="auto"/>
            <w:right w:val="none" w:sz="0" w:space="0" w:color="auto"/>
          </w:divBdr>
        </w:div>
        <w:div w:id="1104107472">
          <w:marLeft w:val="835"/>
          <w:marRight w:val="0"/>
          <w:marTop w:val="0"/>
          <w:marBottom w:val="0"/>
          <w:divBdr>
            <w:top w:val="none" w:sz="0" w:space="0" w:color="auto"/>
            <w:left w:val="none" w:sz="0" w:space="0" w:color="auto"/>
            <w:bottom w:val="none" w:sz="0" w:space="0" w:color="auto"/>
            <w:right w:val="none" w:sz="0" w:space="0" w:color="auto"/>
          </w:divBdr>
        </w:div>
        <w:div w:id="1463498392">
          <w:marLeft w:val="835"/>
          <w:marRight w:val="0"/>
          <w:marTop w:val="0"/>
          <w:marBottom w:val="0"/>
          <w:divBdr>
            <w:top w:val="none" w:sz="0" w:space="0" w:color="auto"/>
            <w:left w:val="none" w:sz="0" w:space="0" w:color="auto"/>
            <w:bottom w:val="none" w:sz="0" w:space="0" w:color="auto"/>
            <w:right w:val="none" w:sz="0" w:space="0" w:color="auto"/>
          </w:divBdr>
        </w:div>
        <w:div w:id="1727333518">
          <w:marLeft w:val="835"/>
          <w:marRight w:val="0"/>
          <w:marTop w:val="0"/>
          <w:marBottom w:val="0"/>
          <w:divBdr>
            <w:top w:val="none" w:sz="0" w:space="0" w:color="auto"/>
            <w:left w:val="none" w:sz="0" w:space="0" w:color="auto"/>
            <w:bottom w:val="none" w:sz="0" w:space="0" w:color="auto"/>
            <w:right w:val="none" w:sz="0" w:space="0" w:color="auto"/>
          </w:divBdr>
        </w:div>
        <w:div w:id="1941714859">
          <w:marLeft w:val="835"/>
          <w:marRight w:val="0"/>
          <w:marTop w:val="0"/>
          <w:marBottom w:val="0"/>
          <w:divBdr>
            <w:top w:val="none" w:sz="0" w:space="0" w:color="auto"/>
            <w:left w:val="none" w:sz="0" w:space="0" w:color="auto"/>
            <w:bottom w:val="none" w:sz="0" w:space="0" w:color="auto"/>
            <w:right w:val="none" w:sz="0" w:space="0" w:color="auto"/>
          </w:divBdr>
        </w:div>
        <w:div w:id="1965845736">
          <w:marLeft w:val="835"/>
          <w:marRight w:val="0"/>
          <w:marTop w:val="0"/>
          <w:marBottom w:val="0"/>
          <w:divBdr>
            <w:top w:val="none" w:sz="0" w:space="0" w:color="auto"/>
            <w:left w:val="none" w:sz="0" w:space="0" w:color="auto"/>
            <w:bottom w:val="none" w:sz="0" w:space="0" w:color="auto"/>
            <w:right w:val="none" w:sz="0" w:space="0" w:color="auto"/>
          </w:divBdr>
        </w:div>
      </w:divsChild>
    </w:div>
    <w:div w:id="19465758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tiff"/><Relationship Id="rId21" Type="http://schemas.openxmlformats.org/officeDocument/2006/relationships/image" Target="media/image11.png"/><Relationship Id="rId34" Type="http://schemas.openxmlformats.org/officeDocument/2006/relationships/image" Target="media/image24.tiff"/><Relationship Id="rId42" Type="http://schemas.openxmlformats.org/officeDocument/2006/relationships/image" Target="media/image32.tiff"/><Relationship Id="rId47" Type="http://schemas.openxmlformats.org/officeDocument/2006/relationships/image" Target="media/image37.tiff"/><Relationship Id="rId50" Type="http://schemas.openxmlformats.org/officeDocument/2006/relationships/image" Target="media/image40.tiff"/><Relationship Id="rId55" Type="http://schemas.openxmlformats.org/officeDocument/2006/relationships/image" Target="media/image43.wmf"/><Relationship Id="rId63" Type="http://schemas.openxmlformats.org/officeDocument/2006/relationships/image" Target="media/image49.emf"/><Relationship Id="rId68" Type="http://schemas.openxmlformats.org/officeDocument/2006/relationships/image" Target="media/image54.png"/><Relationship Id="rId76" Type="http://schemas.openxmlformats.org/officeDocument/2006/relationships/image" Target="media/image62.png"/><Relationship Id="rId84" Type="http://schemas.openxmlformats.org/officeDocument/2006/relationships/hyperlink" Target="https://mentor.ieee.org/802.11/dcn/16/11-16-0456-00-00aj-overview-of-802-11aj-60ghz-and-its-backward-compatibility-features.ppt" TargetMode="External"/><Relationship Id="rId7" Type="http://schemas.openxmlformats.org/officeDocument/2006/relationships/settings" Target="settings.xml"/><Relationship Id="rId71" Type="http://schemas.openxmlformats.org/officeDocument/2006/relationships/image" Target="media/image57.tiff"/><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emf"/><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7.tiff"/><Relationship Id="rId40" Type="http://schemas.openxmlformats.org/officeDocument/2006/relationships/image" Target="media/image30.tiff"/><Relationship Id="rId45" Type="http://schemas.openxmlformats.org/officeDocument/2006/relationships/image" Target="media/image35.tiff"/><Relationship Id="rId53" Type="http://schemas.openxmlformats.org/officeDocument/2006/relationships/image" Target="media/image42.wmf"/><Relationship Id="rId58" Type="http://schemas.openxmlformats.org/officeDocument/2006/relationships/image" Target="media/image44.wmf"/><Relationship Id="rId66" Type="http://schemas.openxmlformats.org/officeDocument/2006/relationships/image" Target="media/image52.png"/><Relationship Id="rId74" Type="http://schemas.openxmlformats.org/officeDocument/2006/relationships/image" Target="media/image60.tiff"/><Relationship Id="rId79" Type="http://schemas.openxmlformats.org/officeDocument/2006/relationships/image" Target="media/image65.emf"/><Relationship Id="rId5" Type="http://schemas.openxmlformats.org/officeDocument/2006/relationships/numbering" Target="numbering.xml"/><Relationship Id="rId61" Type="http://schemas.openxmlformats.org/officeDocument/2006/relationships/image" Target="media/image47.wmf"/><Relationship Id="rId82" Type="http://schemas.openxmlformats.org/officeDocument/2006/relationships/image" Target="media/image68.png"/><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tiff"/><Relationship Id="rId43" Type="http://schemas.openxmlformats.org/officeDocument/2006/relationships/image" Target="media/image33.tiff"/><Relationship Id="rId48" Type="http://schemas.openxmlformats.org/officeDocument/2006/relationships/image" Target="media/image38.tiff"/><Relationship Id="rId56" Type="http://schemas.openxmlformats.org/officeDocument/2006/relationships/oleObject" Target="embeddings/oleObject3.bin"/><Relationship Id="rId64" Type="http://schemas.openxmlformats.org/officeDocument/2006/relationships/image" Target="media/image50.emf"/><Relationship Id="rId69" Type="http://schemas.openxmlformats.org/officeDocument/2006/relationships/image" Target="media/image55.png"/><Relationship Id="rId77" Type="http://schemas.openxmlformats.org/officeDocument/2006/relationships/image" Target="media/image63.png"/><Relationship Id="rId8" Type="http://schemas.openxmlformats.org/officeDocument/2006/relationships/webSettings" Target="webSettings.xml"/><Relationship Id="rId51" Type="http://schemas.openxmlformats.org/officeDocument/2006/relationships/image" Target="media/image41.wmf"/><Relationship Id="rId72" Type="http://schemas.openxmlformats.org/officeDocument/2006/relationships/image" Target="media/image58.tiff"/><Relationship Id="rId80" Type="http://schemas.openxmlformats.org/officeDocument/2006/relationships/image" Target="media/image66.pn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tiff"/><Relationship Id="rId38" Type="http://schemas.openxmlformats.org/officeDocument/2006/relationships/image" Target="media/image28.tiff"/><Relationship Id="rId46" Type="http://schemas.openxmlformats.org/officeDocument/2006/relationships/image" Target="media/image36.tiff"/><Relationship Id="rId59" Type="http://schemas.openxmlformats.org/officeDocument/2006/relationships/image" Target="media/image45.wmf"/><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image" Target="media/image31.tiff"/><Relationship Id="rId54" Type="http://schemas.openxmlformats.org/officeDocument/2006/relationships/oleObject" Target="embeddings/oleObject2.bin"/><Relationship Id="rId62" Type="http://schemas.openxmlformats.org/officeDocument/2006/relationships/image" Target="media/image48.wmf"/><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hyperlink" Target="http://cp.literature.agilent.com/litweb/pdf/5990-9697EN.pdf"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tiff"/><Relationship Id="rId49" Type="http://schemas.openxmlformats.org/officeDocument/2006/relationships/image" Target="media/image39.tiff"/><Relationship Id="rId57" Type="http://schemas.openxmlformats.org/officeDocument/2006/relationships/oleObject" Target="embeddings/oleObject4.bin"/><Relationship Id="rId10" Type="http://schemas.openxmlformats.org/officeDocument/2006/relationships/endnotes" Target="endnotes.xml"/><Relationship Id="rId31" Type="http://schemas.openxmlformats.org/officeDocument/2006/relationships/image" Target="media/image21.emf"/><Relationship Id="rId44" Type="http://schemas.openxmlformats.org/officeDocument/2006/relationships/image" Target="media/image34.tiff"/><Relationship Id="rId52" Type="http://schemas.openxmlformats.org/officeDocument/2006/relationships/oleObject" Target="embeddings/oleObject1.bin"/><Relationship Id="rId60" Type="http://schemas.openxmlformats.org/officeDocument/2006/relationships/image" Target="media/image46.wmf"/><Relationship Id="rId65" Type="http://schemas.openxmlformats.org/officeDocument/2006/relationships/image" Target="media/image51.png"/><Relationship Id="rId73" Type="http://schemas.openxmlformats.org/officeDocument/2006/relationships/image" Target="media/image59.tiff"/><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SharedWithUsers xmlns="9b239327-9e80-40e4-b1b7-4394fed77a33">
      <UserInfo>
        <DisplayName/>
        <AccountId xsi:nil="true"/>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002A6A-020E-4648-8DC9-C5B8805CC385}"/>
</file>

<file path=customXml/itemProps2.xml><?xml version="1.0" encoding="utf-8"?>
<ds:datastoreItem xmlns:ds="http://schemas.openxmlformats.org/officeDocument/2006/customXml" ds:itemID="{620C770C-47B9-40F0-AE3C-65C874F35B5F}">
  <ds:schemaRefs>
    <ds:schemaRef ds:uri="http://purl.org/dc/elements/1.1/"/>
    <ds:schemaRef ds:uri="http://schemas.microsoft.com/office/2006/metadata/properties"/>
    <ds:schemaRef ds:uri="9b239327-9e80-40e4-b1b7-4394fed77a33"/>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2f282d3b-eb4a-4b09-b61f-b9593442e286"/>
    <ds:schemaRef ds:uri="http://www.w3.org/XML/1998/namespace"/>
    <ds:schemaRef ds:uri="http://purl.org/dc/dcmitype/"/>
  </ds:schemaRefs>
</ds:datastoreItem>
</file>

<file path=customXml/itemProps3.xml><?xml version="1.0" encoding="utf-8"?>
<ds:datastoreItem xmlns:ds="http://schemas.openxmlformats.org/officeDocument/2006/customXml" ds:itemID="{C0064866-15C8-4E82-800E-FA249B931531}">
  <ds:schemaRefs>
    <ds:schemaRef ds:uri="http://schemas.microsoft.com/sharepoint/v3/contenttype/forms"/>
  </ds:schemaRefs>
</ds:datastoreItem>
</file>

<file path=customXml/itemProps4.xml><?xml version="1.0" encoding="utf-8"?>
<ds:datastoreItem xmlns:ds="http://schemas.openxmlformats.org/officeDocument/2006/customXml" ds:itemID="{D0162762-1C5C-4915-A490-997E7CEE8F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1463</TotalTime>
  <Pages>60</Pages>
  <Words>25423</Words>
  <Characters>144916</Characters>
  <Application>Microsoft Office Word</Application>
  <DocSecurity>0</DocSecurity>
  <Lines>1207</Lines>
  <Paragraphs>339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170000</CharactersWithSpaces>
  <SharedDoc>false</SharedDoc>
  <HLinks>
    <vt:vector size="504" baseType="variant">
      <vt:variant>
        <vt:i4>2949237</vt:i4>
      </vt:variant>
      <vt:variant>
        <vt:i4>1006</vt:i4>
      </vt:variant>
      <vt:variant>
        <vt:i4>0</vt:i4>
      </vt:variant>
      <vt:variant>
        <vt:i4>5</vt:i4>
      </vt:variant>
      <vt:variant>
        <vt:lpwstr>https://mentor.ieee.org/802.11/dcn/16/11-16-0456-00-00aj-overview-of-802-11aj-60ghz-and-its-backward-compatibility-features.ppt</vt:lpwstr>
      </vt:variant>
      <vt:variant>
        <vt:lpwstr/>
      </vt:variant>
      <vt:variant>
        <vt:i4>786452</vt:i4>
      </vt:variant>
      <vt:variant>
        <vt:i4>1003</vt:i4>
      </vt:variant>
      <vt:variant>
        <vt:i4>0</vt:i4>
      </vt:variant>
      <vt:variant>
        <vt:i4>5</vt:i4>
      </vt:variant>
      <vt:variant>
        <vt:lpwstr>https://www.smallnetbuilder.com/tags/80211ad</vt:lpwstr>
      </vt:variant>
      <vt:variant>
        <vt:lpwstr/>
      </vt:variant>
      <vt:variant>
        <vt:i4>6225980</vt:i4>
      </vt:variant>
      <vt:variant>
        <vt:i4>1000</vt:i4>
      </vt:variant>
      <vt:variant>
        <vt:i4>0</vt:i4>
      </vt:variant>
      <vt:variant>
        <vt:i4>5</vt:i4>
      </vt:variant>
      <vt:variant>
        <vt:lpwstr>http://www.rohde-schwarz.com/en/applications/802.11ad-wlan-at-60-ghz-application-note_56280-50625.html</vt:lpwstr>
      </vt:variant>
      <vt:variant>
        <vt:lpwstr/>
      </vt:variant>
      <vt:variant>
        <vt:i4>3342436</vt:i4>
      </vt:variant>
      <vt:variant>
        <vt:i4>997</vt:i4>
      </vt:variant>
      <vt:variant>
        <vt:i4>0</vt:i4>
      </vt:variant>
      <vt:variant>
        <vt:i4>5</vt:i4>
      </vt:variant>
      <vt:variant>
        <vt:lpwstr>http://cp.literature.agilent.com/litweb/pdf/5990-9697EN.pdf</vt:lpwstr>
      </vt:variant>
      <vt:variant>
        <vt:lpwstr/>
      </vt:variant>
      <vt:variant>
        <vt:i4>983069</vt:i4>
      </vt:variant>
      <vt:variant>
        <vt:i4>994</vt:i4>
      </vt:variant>
      <vt:variant>
        <vt:i4>0</vt:i4>
      </vt:variant>
      <vt:variant>
        <vt:i4>5</vt:i4>
      </vt:variant>
      <vt:variant>
        <vt:lpwstr>https://web.archive.org/web/20140823221003/http:/cp.literature.agilent.com/litweb/pdf/5990-9697EN.pdf</vt:lpwstr>
      </vt:variant>
      <vt:variant>
        <vt:lpwstr/>
      </vt:variant>
      <vt:variant>
        <vt:i4>1376315</vt:i4>
      </vt:variant>
      <vt:variant>
        <vt:i4>990</vt:i4>
      </vt:variant>
      <vt:variant>
        <vt:i4>0</vt:i4>
      </vt:variant>
      <vt:variant>
        <vt:i4>5</vt:i4>
      </vt:variant>
      <vt:variant>
        <vt:lpwstr/>
      </vt:variant>
      <vt:variant>
        <vt:lpwstr>_Toc53740590</vt:lpwstr>
      </vt:variant>
      <vt:variant>
        <vt:i4>1835066</vt:i4>
      </vt:variant>
      <vt:variant>
        <vt:i4>987</vt:i4>
      </vt:variant>
      <vt:variant>
        <vt:i4>0</vt:i4>
      </vt:variant>
      <vt:variant>
        <vt:i4>5</vt:i4>
      </vt:variant>
      <vt:variant>
        <vt:lpwstr/>
      </vt:variant>
      <vt:variant>
        <vt:lpwstr>_Toc53740589</vt:lpwstr>
      </vt:variant>
      <vt:variant>
        <vt:i4>1900602</vt:i4>
      </vt:variant>
      <vt:variant>
        <vt:i4>984</vt:i4>
      </vt:variant>
      <vt:variant>
        <vt:i4>0</vt:i4>
      </vt:variant>
      <vt:variant>
        <vt:i4>5</vt:i4>
      </vt:variant>
      <vt:variant>
        <vt:lpwstr/>
      </vt:variant>
      <vt:variant>
        <vt:lpwstr>_Toc53740588</vt:lpwstr>
      </vt:variant>
      <vt:variant>
        <vt:i4>1179706</vt:i4>
      </vt:variant>
      <vt:variant>
        <vt:i4>981</vt:i4>
      </vt:variant>
      <vt:variant>
        <vt:i4>0</vt:i4>
      </vt:variant>
      <vt:variant>
        <vt:i4>5</vt:i4>
      </vt:variant>
      <vt:variant>
        <vt:lpwstr/>
      </vt:variant>
      <vt:variant>
        <vt:lpwstr>_Toc53740587</vt:lpwstr>
      </vt:variant>
      <vt:variant>
        <vt:i4>1245242</vt:i4>
      </vt:variant>
      <vt:variant>
        <vt:i4>978</vt:i4>
      </vt:variant>
      <vt:variant>
        <vt:i4>0</vt:i4>
      </vt:variant>
      <vt:variant>
        <vt:i4>5</vt:i4>
      </vt:variant>
      <vt:variant>
        <vt:lpwstr/>
      </vt:variant>
      <vt:variant>
        <vt:lpwstr>_Toc53740586</vt:lpwstr>
      </vt:variant>
      <vt:variant>
        <vt:i4>1048634</vt:i4>
      </vt:variant>
      <vt:variant>
        <vt:i4>975</vt:i4>
      </vt:variant>
      <vt:variant>
        <vt:i4>0</vt:i4>
      </vt:variant>
      <vt:variant>
        <vt:i4>5</vt:i4>
      </vt:variant>
      <vt:variant>
        <vt:lpwstr/>
      </vt:variant>
      <vt:variant>
        <vt:lpwstr>_Toc53740585</vt:lpwstr>
      </vt:variant>
      <vt:variant>
        <vt:i4>1114170</vt:i4>
      </vt:variant>
      <vt:variant>
        <vt:i4>972</vt:i4>
      </vt:variant>
      <vt:variant>
        <vt:i4>0</vt:i4>
      </vt:variant>
      <vt:variant>
        <vt:i4>5</vt:i4>
      </vt:variant>
      <vt:variant>
        <vt:lpwstr/>
      </vt:variant>
      <vt:variant>
        <vt:lpwstr>_Toc53740584</vt:lpwstr>
      </vt:variant>
      <vt:variant>
        <vt:i4>1441850</vt:i4>
      </vt:variant>
      <vt:variant>
        <vt:i4>969</vt:i4>
      </vt:variant>
      <vt:variant>
        <vt:i4>0</vt:i4>
      </vt:variant>
      <vt:variant>
        <vt:i4>5</vt:i4>
      </vt:variant>
      <vt:variant>
        <vt:lpwstr/>
      </vt:variant>
      <vt:variant>
        <vt:lpwstr>_Toc53740583</vt:lpwstr>
      </vt:variant>
      <vt:variant>
        <vt:i4>1507386</vt:i4>
      </vt:variant>
      <vt:variant>
        <vt:i4>966</vt:i4>
      </vt:variant>
      <vt:variant>
        <vt:i4>0</vt:i4>
      </vt:variant>
      <vt:variant>
        <vt:i4>5</vt:i4>
      </vt:variant>
      <vt:variant>
        <vt:lpwstr/>
      </vt:variant>
      <vt:variant>
        <vt:lpwstr>_Toc53740582</vt:lpwstr>
      </vt:variant>
      <vt:variant>
        <vt:i4>1310778</vt:i4>
      </vt:variant>
      <vt:variant>
        <vt:i4>963</vt:i4>
      </vt:variant>
      <vt:variant>
        <vt:i4>0</vt:i4>
      </vt:variant>
      <vt:variant>
        <vt:i4>5</vt:i4>
      </vt:variant>
      <vt:variant>
        <vt:lpwstr/>
      </vt:variant>
      <vt:variant>
        <vt:lpwstr>_Toc53740581</vt:lpwstr>
      </vt:variant>
      <vt:variant>
        <vt:i4>1376314</vt:i4>
      </vt:variant>
      <vt:variant>
        <vt:i4>960</vt:i4>
      </vt:variant>
      <vt:variant>
        <vt:i4>0</vt:i4>
      </vt:variant>
      <vt:variant>
        <vt:i4>5</vt:i4>
      </vt:variant>
      <vt:variant>
        <vt:lpwstr/>
      </vt:variant>
      <vt:variant>
        <vt:lpwstr>_Toc53740580</vt:lpwstr>
      </vt:variant>
      <vt:variant>
        <vt:i4>1835061</vt:i4>
      </vt:variant>
      <vt:variant>
        <vt:i4>957</vt:i4>
      </vt:variant>
      <vt:variant>
        <vt:i4>0</vt:i4>
      </vt:variant>
      <vt:variant>
        <vt:i4>5</vt:i4>
      </vt:variant>
      <vt:variant>
        <vt:lpwstr/>
      </vt:variant>
      <vt:variant>
        <vt:lpwstr>_Toc53740579</vt:lpwstr>
      </vt:variant>
      <vt:variant>
        <vt:i4>1900597</vt:i4>
      </vt:variant>
      <vt:variant>
        <vt:i4>954</vt:i4>
      </vt:variant>
      <vt:variant>
        <vt:i4>0</vt:i4>
      </vt:variant>
      <vt:variant>
        <vt:i4>5</vt:i4>
      </vt:variant>
      <vt:variant>
        <vt:lpwstr/>
      </vt:variant>
      <vt:variant>
        <vt:lpwstr>_Toc53740578</vt:lpwstr>
      </vt:variant>
      <vt:variant>
        <vt:i4>1179701</vt:i4>
      </vt:variant>
      <vt:variant>
        <vt:i4>951</vt:i4>
      </vt:variant>
      <vt:variant>
        <vt:i4>0</vt:i4>
      </vt:variant>
      <vt:variant>
        <vt:i4>5</vt:i4>
      </vt:variant>
      <vt:variant>
        <vt:lpwstr/>
      </vt:variant>
      <vt:variant>
        <vt:lpwstr>_Toc53740577</vt:lpwstr>
      </vt:variant>
      <vt:variant>
        <vt:i4>1114165</vt:i4>
      </vt:variant>
      <vt:variant>
        <vt:i4>948</vt:i4>
      </vt:variant>
      <vt:variant>
        <vt:i4>0</vt:i4>
      </vt:variant>
      <vt:variant>
        <vt:i4>5</vt:i4>
      </vt:variant>
      <vt:variant>
        <vt:lpwstr/>
      </vt:variant>
      <vt:variant>
        <vt:lpwstr>_Toc53740574</vt:lpwstr>
      </vt:variant>
      <vt:variant>
        <vt:i4>1507381</vt:i4>
      </vt:variant>
      <vt:variant>
        <vt:i4>945</vt:i4>
      </vt:variant>
      <vt:variant>
        <vt:i4>0</vt:i4>
      </vt:variant>
      <vt:variant>
        <vt:i4>5</vt:i4>
      </vt:variant>
      <vt:variant>
        <vt:lpwstr/>
      </vt:variant>
      <vt:variant>
        <vt:lpwstr>_Toc53740572</vt:lpwstr>
      </vt:variant>
      <vt:variant>
        <vt:i4>1310773</vt:i4>
      </vt:variant>
      <vt:variant>
        <vt:i4>942</vt:i4>
      </vt:variant>
      <vt:variant>
        <vt:i4>0</vt:i4>
      </vt:variant>
      <vt:variant>
        <vt:i4>5</vt:i4>
      </vt:variant>
      <vt:variant>
        <vt:lpwstr/>
      </vt:variant>
      <vt:variant>
        <vt:lpwstr>_Toc53740571</vt:lpwstr>
      </vt:variant>
      <vt:variant>
        <vt:i4>1376309</vt:i4>
      </vt:variant>
      <vt:variant>
        <vt:i4>939</vt:i4>
      </vt:variant>
      <vt:variant>
        <vt:i4>0</vt:i4>
      </vt:variant>
      <vt:variant>
        <vt:i4>5</vt:i4>
      </vt:variant>
      <vt:variant>
        <vt:lpwstr/>
      </vt:variant>
      <vt:variant>
        <vt:lpwstr>_Toc53740570</vt:lpwstr>
      </vt:variant>
      <vt:variant>
        <vt:i4>1835060</vt:i4>
      </vt:variant>
      <vt:variant>
        <vt:i4>936</vt:i4>
      </vt:variant>
      <vt:variant>
        <vt:i4>0</vt:i4>
      </vt:variant>
      <vt:variant>
        <vt:i4>5</vt:i4>
      </vt:variant>
      <vt:variant>
        <vt:lpwstr/>
      </vt:variant>
      <vt:variant>
        <vt:lpwstr>_Toc53740569</vt:lpwstr>
      </vt:variant>
      <vt:variant>
        <vt:i4>1179700</vt:i4>
      </vt:variant>
      <vt:variant>
        <vt:i4>933</vt:i4>
      </vt:variant>
      <vt:variant>
        <vt:i4>0</vt:i4>
      </vt:variant>
      <vt:variant>
        <vt:i4>5</vt:i4>
      </vt:variant>
      <vt:variant>
        <vt:lpwstr/>
      </vt:variant>
      <vt:variant>
        <vt:lpwstr>_Toc53740567</vt:lpwstr>
      </vt:variant>
      <vt:variant>
        <vt:i4>1245236</vt:i4>
      </vt:variant>
      <vt:variant>
        <vt:i4>930</vt:i4>
      </vt:variant>
      <vt:variant>
        <vt:i4>0</vt:i4>
      </vt:variant>
      <vt:variant>
        <vt:i4>5</vt:i4>
      </vt:variant>
      <vt:variant>
        <vt:lpwstr/>
      </vt:variant>
      <vt:variant>
        <vt:lpwstr>_Toc53740566</vt:lpwstr>
      </vt:variant>
      <vt:variant>
        <vt:i4>1048628</vt:i4>
      </vt:variant>
      <vt:variant>
        <vt:i4>927</vt:i4>
      </vt:variant>
      <vt:variant>
        <vt:i4>0</vt:i4>
      </vt:variant>
      <vt:variant>
        <vt:i4>5</vt:i4>
      </vt:variant>
      <vt:variant>
        <vt:lpwstr/>
      </vt:variant>
      <vt:variant>
        <vt:lpwstr>_Toc53740565</vt:lpwstr>
      </vt:variant>
      <vt:variant>
        <vt:i4>1441844</vt:i4>
      </vt:variant>
      <vt:variant>
        <vt:i4>924</vt:i4>
      </vt:variant>
      <vt:variant>
        <vt:i4>0</vt:i4>
      </vt:variant>
      <vt:variant>
        <vt:i4>5</vt:i4>
      </vt:variant>
      <vt:variant>
        <vt:lpwstr/>
      </vt:variant>
      <vt:variant>
        <vt:lpwstr>_Toc53740563</vt:lpwstr>
      </vt:variant>
      <vt:variant>
        <vt:i4>1507380</vt:i4>
      </vt:variant>
      <vt:variant>
        <vt:i4>921</vt:i4>
      </vt:variant>
      <vt:variant>
        <vt:i4>0</vt:i4>
      </vt:variant>
      <vt:variant>
        <vt:i4>5</vt:i4>
      </vt:variant>
      <vt:variant>
        <vt:lpwstr/>
      </vt:variant>
      <vt:variant>
        <vt:lpwstr>_Toc53740562</vt:lpwstr>
      </vt:variant>
      <vt:variant>
        <vt:i4>1310772</vt:i4>
      </vt:variant>
      <vt:variant>
        <vt:i4>918</vt:i4>
      </vt:variant>
      <vt:variant>
        <vt:i4>0</vt:i4>
      </vt:variant>
      <vt:variant>
        <vt:i4>5</vt:i4>
      </vt:variant>
      <vt:variant>
        <vt:lpwstr/>
      </vt:variant>
      <vt:variant>
        <vt:lpwstr>_Toc53740561</vt:lpwstr>
      </vt:variant>
      <vt:variant>
        <vt:i4>1376308</vt:i4>
      </vt:variant>
      <vt:variant>
        <vt:i4>915</vt:i4>
      </vt:variant>
      <vt:variant>
        <vt:i4>0</vt:i4>
      </vt:variant>
      <vt:variant>
        <vt:i4>5</vt:i4>
      </vt:variant>
      <vt:variant>
        <vt:lpwstr/>
      </vt:variant>
      <vt:variant>
        <vt:lpwstr>_Toc53740560</vt:lpwstr>
      </vt:variant>
      <vt:variant>
        <vt:i4>1835063</vt:i4>
      </vt:variant>
      <vt:variant>
        <vt:i4>912</vt:i4>
      </vt:variant>
      <vt:variant>
        <vt:i4>0</vt:i4>
      </vt:variant>
      <vt:variant>
        <vt:i4>5</vt:i4>
      </vt:variant>
      <vt:variant>
        <vt:lpwstr/>
      </vt:variant>
      <vt:variant>
        <vt:lpwstr>_Toc53740559</vt:lpwstr>
      </vt:variant>
      <vt:variant>
        <vt:i4>1900599</vt:i4>
      </vt:variant>
      <vt:variant>
        <vt:i4>909</vt:i4>
      </vt:variant>
      <vt:variant>
        <vt:i4>0</vt:i4>
      </vt:variant>
      <vt:variant>
        <vt:i4>5</vt:i4>
      </vt:variant>
      <vt:variant>
        <vt:lpwstr/>
      </vt:variant>
      <vt:variant>
        <vt:lpwstr>_Toc53740558</vt:lpwstr>
      </vt:variant>
      <vt:variant>
        <vt:i4>1179703</vt:i4>
      </vt:variant>
      <vt:variant>
        <vt:i4>906</vt:i4>
      </vt:variant>
      <vt:variant>
        <vt:i4>0</vt:i4>
      </vt:variant>
      <vt:variant>
        <vt:i4>5</vt:i4>
      </vt:variant>
      <vt:variant>
        <vt:lpwstr/>
      </vt:variant>
      <vt:variant>
        <vt:lpwstr>_Toc53740557</vt:lpwstr>
      </vt:variant>
      <vt:variant>
        <vt:i4>1245239</vt:i4>
      </vt:variant>
      <vt:variant>
        <vt:i4>903</vt:i4>
      </vt:variant>
      <vt:variant>
        <vt:i4>0</vt:i4>
      </vt:variant>
      <vt:variant>
        <vt:i4>5</vt:i4>
      </vt:variant>
      <vt:variant>
        <vt:lpwstr/>
      </vt:variant>
      <vt:variant>
        <vt:lpwstr>_Toc53740556</vt:lpwstr>
      </vt:variant>
      <vt:variant>
        <vt:i4>1048631</vt:i4>
      </vt:variant>
      <vt:variant>
        <vt:i4>900</vt:i4>
      </vt:variant>
      <vt:variant>
        <vt:i4>0</vt:i4>
      </vt:variant>
      <vt:variant>
        <vt:i4>5</vt:i4>
      </vt:variant>
      <vt:variant>
        <vt:lpwstr/>
      </vt:variant>
      <vt:variant>
        <vt:lpwstr>_Toc53740555</vt:lpwstr>
      </vt:variant>
      <vt:variant>
        <vt:i4>1114167</vt:i4>
      </vt:variant>
      <vt:variant>
        <vt:i4>897</vt:i4>
      </vt:variant>
      <vt:variant>
        <vt:i4>0</vt:i4>
      </vt:variant>
      <vt:variant>
        <vt:i4>5</vt:i4>
      </vt:variant>
      <vt:variant>
        <vt:lpwstr/>
      </vt:variant>
      <vt:variant>
        <vt:lpwstr>_Toc53740554</vt:lpwstr>
      </vt:variant>
      <vt:variant>
        <vt:i4>1441847</vt:i4>
      </vt:variant>
      <vt:variant>
        <vt:i4>894</vt:i4>
      </vt:variant>
      <vt:variant>
        <vt:i4>0</vt:i4>
      </vt:variant>
      <vt:variant>
        <vt:i4>5</vt:i4>
      </vt:variant>
      <vt:variant>
        <vt:lpwstr/>
      </vt:variant>
      <vt:variant>
        <vt:lpwstr>_Toc53740553</vt:lpwstr>
      </vt:variant>
      <vt:variant>
        <vt:i4>1507383</vt:i4>
      </vt:variant>
      <vt:variant>
        <vt:i4>891</vt:i4>
      </vt:variant>
      <vt:variant>
        <vt:i4>0</vt:i4>
      </vt:variant>
      <vt:variant>
        <vt:i4>5</vt:i4>
      </vt:variant>
      <vt:variant>
        <vt:lpwstr/>
      </vt:variant>
      <vt:variant>
        <vt:lpwstr>_Toc53740552</vt:lpwstr>
      </vt:variant>
      <vt:variant>
        <vt:i4>1310775</vt:i4>
      </vt:variant>
      <vt:variant>
        <vt:i4>888</vt:i4>
      </vt:variant>
      <vt:variant>
        <vt:i4>0</vt:i4>
      </vt:variant>
      <vt:variant>
        <vt:i4>5</vt:i4>
      </vt:variant>
      <vt:variant>
        <vt:lpwstr/>
      </vt:variant>
      <vt:variant>
        <vt:lpwstr>_Toc53740551</vt:lpwstr>
      </vt:variant>
      <vt:variant>
        <vt:i4>1376311</vt:i4>
      </vt:variant>
      <vt:variant>
        <vt:i4>885</vt:i4>
      </vt:variant>
      <vt:variant>
        <vt:i4>0</vt:i4>
      </vt:variant>
      <vt:variant>
        <vt:i4>5</vt:i4>
      </vt:variant>
      <vt:variant>
        <vt:lpwstr/>
      </vt:variant>
      <vt:variant>
        <vt:lpwstr>_Toc53740550</vt:lpwstr>
      </vt:variant>
      <vt:variant>
        <vt:i4>1835062</vt:i4>
      </vt:variant>
      <vt:variant>
        <vt:i4>882</vt:i4>
      </vt:variant>
      <vt:variant>
        <vt:i4>0</vt:i4>
      </vt:variant>
      <vt:variant>
        <vt:i4>5</vt:i4>
      </vt:variant>
      <vt:variant>
        <vt:lpwstr/>
      </vt:variant>
      <vt:variant>
        <vt:lpwstr>_Toc53740549</vt:lpwstr>
      </vt:variant>
      <vt:variant>
        <vt:i4>1900598</vt:i4>
      </vt:variant>
      <vt:variant>
        <vt:i4>879</vt:i4>
      </vt:variant>
      <vt:variant>
        <vt:i4>0</vt:i4>
      </vt:variant>
      <vt:variant>
        <vt:i4>5</vt:i4>
      </vt:variant>
      <vt:variant>
        <vt:lpwstr/>
      </vt:variant>
      <vt:variant>
        <vt:lpwstr>_Toc53740548</vt:lpwstr>
      </vt:variant>
      <vt:variant>
        <vt:i4>1179702</vt:i4>
      </vt:variant>
      <vt:variant>
        <vt:i4>876</vt:i4>
      </vt:variant>
      <vt:variant>
        <vt:i4>0</vt:i4>
      </vt:variant>
      <vt:variant>
        <vt:i4>5</vt:i4>
      </vt:variant>
      <vt:variant>
        <vt:lpwstr/>
      </vt:variant>
      <vt:variant>
        <vt:lpwstr>_Toc53740547</vt:lpwstr>
      </vt:variant>
      <vt:variant>
        <vt:i4>1245238</vt:i4>
      </vt:variant>
      <vt:variant>
        <vt:i4>873</vt:i4>
      </vt:variant>
      <vt:variant>
        <vt:i4>0</vt:i4>
      </vt:variant>
      <vt:variant>
        <vt:i4>5</vt:i4>
      </vt:variant>
      <vt:variant>
        <vt:lpwstr/>
      </vt:variant>
      <vt:variant>
        <vt:lpwstr>_Toc53740546</vt:lpwstr>
      </vt:variant>
      <vt:variant>
        <vt:i4>1048630</vt:i4>
      </vt:variant>
      <vt:variant>
        <vt:i4>870</vt:i4>
      </vt:variant>
      <vt:variant>
        <vt:i4>0</vt:i4>
      </vt:variant>
      <vt:variant>
        <vt:i4>5</vt:i4>
      </vt:variant>
      <vt:variant>
        <vt:lpwstr/>
      </vt:variant>
      <vt:variant>
        <vt:lpwstr>_Toc53740545</vt:lpwstr>
      </vt:variant>
      <vt:variant>
        <vt:i4>1114166</vt:i4>
      </vt:variant>
      <vt:variant>
        <vt:i4>867</vt:i4>
      </vt:variant>
      <vt:variant>
        <vt:i4>0</vt:i4>
      </vt:variant>
      <vt:variant>
        <vt:i4>5</vt:i4>
      </vt:variant>
      <vt:variant>
        <vt:lpwstr/>
      </vt:variant>
      <vt:variant>
        <vt:lpwstr>_Toc53740544</vt:lpwstr>
      </vt:variant>
      <vt:variant>
        <vt:i4>1441846</vt:i4>
      </vt:variant>
      <vt:variant>
        <vt:i4>864</vt:i4>
      </vt:variant>
      <vt:variant>
        <vt:i4>0</vt:i4>
      </vt:variant>
      <vt:variant>
        <vt:i4>5</vt:i4>
      </vt:variant>
      <vt:variant>
        <vt:lpwstr/>
      </vt:variant>
      <vt:variant>
        <vt:lpwstr>_Toc53740543</vt:lpwstr>
      </vt:variant>
      <vt:variant>
        <vt:i4>1507382</vt:i4>
      </vt:variant>
      <vt:variant>
        <vt:i4>861</vt:i4>
      </vt:variant>
      <vt:variant>
        <vt:i4>0</vt:i4>
      </vt:variant>
      <vt:variant>
        <vt:i4>5</vt:i4>
      </vt:variant>
      <vt:variant>
        <vt:lpwstr/>
      </vt:variant>
      <vt:variant>
        <vt:lpwstr>_Toc53740542</vt:lpwstr>
      </vt:variant>
      <vt:variant>
        <vt:i4>1310774</vt:i4>
      </vt:variant>
      <vt:variant>
        <vt:i4>858</vt:i4>
      </vt:variant>
      <vt:variant>
        <vt:i4>0</vt:i4>
      </vt:variant>
      <vt:variant>
        <vt:i4>5</vt:i4>
      </vt:variant>
      <vt:variant>
        <vt:lpwstr/>
      </vt:variant>
      <vt:variant>
        <vt:lpwstr>_Toc53740541</vt:lpwstr>
      </vt:variant>
      <vt:variant>
        <vt:i4>1376310</vt:i4>
      </vt:variant>
      <vt:variant>
        <vt:i4>855</vt:i4>
      </vt:variant>
      <vt:variant>
        <vt:i4>0</vt:i4>
      </vt:variant>
      <vt:variant>
        <vt:i4>5</vt:i4>
      </vt:variant>
      <vt:variant>
        <vt:lpwstr/>
      </vt:variant>
      <vt:variant>
        <vt:lpwstr>_Toc53740540</vt:lpwstr>
      </vt:variant>
      <vt:variant>
        <vt:i4>1835057</vt:i4>
      </vt:variant>
      <vt:variant>
        <vt:i4>852</vt:i4>
      </vt:variant>
      <vt:variant>
        <vt:i4>0</vt:i4>
      </vt:variant>
      <vt:variant>
        <vt:i4>5</vt:i4>
      </vt:variant>
      <vt:variant>
        <vt:lpwstr/>
      </vt:variant>
      <vt:variant>
        <vt:lpwstr>_Toc53740539</vt:lpwstr>
      </vt:variant>
      <vt:variant>
        <vt:i4>1900593</vt:i4>
      </vt:variant>
      <vt:variant>
        <vt:i4>849</vt:i4>
      </vt:variant>
      <vt:variant>
        <vt:i4>0</vt:i4>
      </vt:variant>
      <vt:variant>
        <vt:i4>5</vt:i4>
      </vt:variant>
      <vt:variant>
        <vt:lpwstr/>
      </vt:variant>
      <vt:variant>
        <vt:lpwstr>_Toc53740538</vt:lpwstr>
      </vt:variant>
      <vt:variant>
        <vt:i4>1245233</vt:i4>
      </vt:variant>
      <vt:variant>
        <vt:i4>846</vt:i4>
      </vt:variant>
      <vt:variant>
        <vt:i4>0</vt:i4>
      </vt:variant>
      <vt:variant>
        <vt:i4>5</vt:i4>
      </vt:variant>
      <vt:variant>
        <vt:lpwstr/>
      </vt:variant>
      <vt:variant>
        <vt:lpwstr>_Toc53740536</vt:lpwstr>
      </vt:variant>
      <vt:variant>
        <vt:i4>1048625</vt:i4>
      </vt:variant>
      <vt:variant>
        <vt:i4>843</vt:i4>
      </vt:variant>
      <vt:variant>
        <vt:i4>0</vt:i4>
      </vt:variant>
      <vt:variant>
        <vt:i4>5</vt:i4>
      </vt:variant>
      <vt:variant>
        <vt:lpwstr/>
      </vt:variant>
      <vt:variant>
        <vt:lpwstr>_Toc53740535</vt:lpwstr>
      </vt:variant>
      <vt:variant>
        <vt:i4>1114161</vt:i4>
      </vt:variant>
      <vt:variant>
        <vt:i4>840</vt:i4>
      </vt:variant>
      <vt:variant>
        <vt:i4>0</vt:i4>
      </vt:variant>
      <vt:variant>
        <vt:i4>5</vt:i4>
      </vt:variant>
      <vt:variant>
        <vt:lpwstr/>
      </vt:variant>
      <vt:variant>
        <vt:lpwstr>_Toc53740534</vt:lpwstr>
      </vt:variant>
      <vt:variant>
        <vt:i4>1441841</vt:i4>
      </vt:variant>
      <vt:variant>
        <vt:i4>837</vt:i4>
      </vt:variant>
      <vt:variant>
        <vt:i4>0</vt:i4>
      </vt:variant>
      <vt:variant>
        <vt:i4>5</vt:i4>
      </vt:variant>
      <vt:variant>
        <vt:lpwstr/>
      </vt:variant>
      <vt:variant>
        <vt:lpwstr>_Toc53740533</vt:lpwstr>
      </vt:variant>
      <vt:variant>
        <vt:i4>1507377</vt:i4>
      </vt:variant>
      <vt:variant>
        <vt:i4>834</vt:i4>
      </vt:variant>
      <vt:variant>
        <vt:i4>0</vt:i4>
      </vt:variant>
      <vt:variant>
        <vt:i4>5</vt:i4>
      </vt:variant>
      <vt:variant>
        <vt:lpwstr/>
      </vt:variant>
      <vt:variant>
        <vt:lpwstr>_Toc53740532</vt:lpwstr>
      </vt:variant>
      <vt:variant>
        <vt:i4>1310769</vt:i4>
      </vt:variant>
      <vt:variant>
        <vt:i4>831</vt:i4>
      </vt:variant>
      <vt:variant>
        <vt:i4>0</vt:i4>
      </vt:variant>
      <vt:variant>
        <vt:i4>5</vt:i4>
      </vt:variant>
      <vt:variant>
        <vt:lpwstr/>
      </vt:variant>
      <vt:variant>
        <vt:lpwstr>_Toc53740531</vt:lpwstr>
      </vt:variant>
      <vt:variant>
        <vt:i4>1376305</vt:i4>
      </vt:variant>
      <vt:variant>
        <vt:i4>828</vt:i4>
      </vt:variant>
      <vt:variant>
        <vt:i4>0</vt:i4>
      </vt:variant>
      <vt:variant>
        <vt:i4>5</vt:i4>
      </vt:variant>
      <vt:variant>
        <vt:lpwstr/>
      </vt:variant>
      <vt:variant>
        <vt:lpwstr>_Toc53740530</vt:lpwstr>
      </vt:variant>
      <vt:variant>
        <vt:i4>1835056</vt:i4>
      </vt:variant>
      <vt:variant>
        <vt:i4>825</vt:i4>
      </vt:variant>
      <vt:variant>
        <vt:i4>0</vt:i4>
      </vt:variant>
      <vt:variant>
        <vt:i4>5</vt:i4>
      </vt:variant>
      <vt:variant>
        <vt:lpwstr/>
      </vt:variant>
      <vt:variant>
        <vt:lpwstr>_Toc53740529</vt:lpwstr>
      </vt:variant>
      <vt:variant>
        <vt:i4>1900592</vt:i4>
      </vt:variant>
      <vt:variant>
        <vt:i4>822</vt:i4>
      </vt:variant>
      <vt:variant>
        <vt:i4>0</vt:i4>
      </vt:variant>
      <vt:variant>
        <vt:i4>5</vt:i4>
      </vt:variant>
      <vt:variant>
        <vt:lpwstr/>
      </vt:variant>
      <vt:variant>
        <vt:lpwstr>_Toc53740528</vt:lpwstr>
      </vt:variant>
      <vt:variant>
        <vt:i4>1179696</vt:i4>
      </vt:variant>
      <vt:variant>
        <vt:i4>819</vt:i4>
      </vt:variant>
      <vt:variant>
        <vt:i4>0</vt:i4>
      </vt:variant>
      <vt:variant>
        <vt:i4>5</vt:i4>
      </vt:variant>
      <vt:variant>
        <vt:lpwstr/>
      </vt:variant>
      <vt:variant>
        <vt:lpwstr>_Toc53740527</vt:lpwstr>
      </vt:variant>
      <vt:variant>
        <vt:i4>1966132</vt:i4>
      </vt:variant>
      <vt:variant>
        <vt:i4>813</vt:i4>
      </vt:variant>
      <vt:variant>
        <vt:i4>0</vt:i4>
      </vt:variant>
      <vt:variant>
        <vt:i4>5</vt:i4>
      </vt:variant>
      <vt:variant>
        <vt:lpwstr/>
      </vt:variant>
      <vt:variant>
        <vt:lpwstr>_Toc53740769</vt:lpwstr>
      </vt:variant>
      <vt:variant>
        <vt:i4>2031668</vt:i4>
      </vt:variant>
      <vt:variant>
        <vt:i4>810</vt:i4>
      </vt:variant>
      <vt:variant>
        <vt:i4>0</vt:i4>
      </vt:variant>
      <vt:variant>
        <vt:i4>5</vt:i4>
      </vt:variant>
      <vt:variant>
        <vt:lpwstr/>
      </vt:variant>
      <vt:variant>
        <vt:lpwstr>_Toc53740768</vt:lpwstr>
      </vt:variant>
      <vt:variant>
        <vt:i4>1048628</vt:i4>
      </vt:variant>
      <vt:variant>
        <vt:i4>807</vt:i4>
      </vt:variant>
      <vt:variant>
        <vt:i4>0</vt:i4>
      </vt:variant>
      <vt:variant>
        <vt:i4>5</vt:i4>
      </vt:variant>
      <vt:variant>
        <vt:lpwstr/>
      </vt:variant>
      <vt:variant>
        <vt:lpwstr>_Toc53740767</vt:lpwstr>
      </vt:variant>
      <vt:variant>
        <vt:i4>1114164</vt:i4>
      </vt:variant>
      <vt:variant>
        <vt:i4>804</vt:i4>
      </vt:variant>
      <vt:variant>
        <vt:i4>0</vt:i4>
      </vt:variant>
      <vt:variant>
        <vt:i4>5</vt:i4>
      </vt:variant>
      <vt:variant>
        <vt:lpwstr/>
      </vt:variant>
      <vt:variant>
        <vt:lpwstr>_Toc53740766</vt:lpwstr>
      </vt:variant>
      <vt:variant>
        <vt:i4>1179700</vt:i4>
      </vt:variant>
      <vt:variant>
        <vt:i4>801</vt:i4>
      </vt:variant>
      <vt:variant>
        <vt:i4>0</vt:i4>
      </vt:variant>
      <vt:variant>
        <vt:i4>5</vt:i4>
      </vt:variant>
      <vt:variant>
        <vt:lpwstr/>
      </vt:variant>
      <vt:variant>
        <vt:lpwstr>_Toc53740765</vt:lpwstr>
      </vt:variant>
      <vt:variant>
        <vt:i4>1245236</vt:i4>
      </vt:variant>
      <vt:variant>
        <vt:i4>798</vt:i4>
      </vt:variant>
      <vt:variant>
        <vt:i4>0</vt:i4>
      </vt:variant>
      <vt:variant>
        <vt:i4>5</vt:i4>
      </vt:variant>
      <vt:variant>
        <vt:lpwstr/>
      </vt:variant>
      <vt:variant>
        <vt:lpwstr>_Toc53740764</vt:lpwstr>
      </vt:variant>
      <vt:variant>
        <vt:i4>1310772</vt:i4>
      </vt:variant>
      <vt:variant>
        <vt:i4>795</vt:i4>
      </vt:variant>
      <vt:variant>
        <vt:i4>0</vt:i4>
      </vt:variant>
      <vt:variant>
        <vt:i4>5</vt:i4>
      </vt:variant>
      <vt:variant>
        <vt:lpwstr/>
      </vt:variant>
      <vt:variant>
        <vt:lpwstr>_Toc53740763</vt:lpwstr>
      </vt:variant>
      <vt:variant>
        <vt:i4>1376308</vt:i4>
      </vt:variant>
      <vt:variant>
        <vt:i4>792</vt:i4>
      </vt:variant>
      <vt:variant>
        <vt:i4>0</vt:i4>
      </vt:variant>
      <vt:variant>
        <vt:i4>5</vt:i4>
      </vt:variant>
      <vt:variant>
        <vt:lpwstr/>
      </vt:variant>
      <vt:variant>
        <vt:lpwstr>_Toc53740762</vt:lpwstr>
      </vt:variant>
      <vt:variant>
        <vt:i4>1441844</vt:i4>
      </vt:variant>
      <vt:variant>
        <vt:i4>789</vt:i4>
      </vt:variant>
      <vt:variant>
        <vt:i4>0</vt:i4>
      </vt:variant>
      <vt:variant>
        <vt:i4>5</vt:i4>
      </vt:variant>
      <vt:variant>
        <vt:lpwstr/>
      </vt:variant>
      <vt:variant>
        <vt:lpwstr>_Toc53740761</vt:lpwstr>
      </vt:variant>
      <vt:variant>
        <vt:i4>1507380</vt:i4>
      </vt:variant>
      <vt:variant>
        <vt:i4>786</vt:i4>
      </vt:variant>
      <vt:variant>
        <vt:i4>0</vt:i4>
      </vt:variant>
      <vt:variant>
        <vt:i4>5</vt:i4>
      </vt:variant>
      <vt:variant>
        <vt:lpwstr/>
      </vt:variant>
      <vt:variant>
        <vt:lpwstr>_Toc53740760</vt:lpwstr>
      </vt:variant>
      <vt:variant>
        <vt:i4>1966135</vt:i4>
      </vt:variant>
      <vt:variant>
        <vt:i4>783</vt:i4>
      </vt:variant>
      <vt:variant>
        <vt:i4>0</vt:i4>
      </vt:variant>
      <vt:variant>
        <vt:i4>5</vt:i4>
      </vt:variant>
      <vt:variant>
        <vt:lpwstr/>
      </vt:variant>
      <vt:variant>
        <vt:lpwstr>_Toc53740759</vt:lpwstr>
      </vt:variant>
      <vt:variant>
        <vt:i4>2031671</vt:i4>
      </vt:variant>
      <vt:variant>
        <vt:i4>780</vt:i4>
      </vt:variant>
      <vt:variant>
        <vt:i4>0</vt:i4>
      </vt:variant>
      <vt:variant>
        <vt:i4>5</vt:i4>
      </vt:variant>
      <vt:variant>
        <vt:lpwstr/>
      </vt:variant>
      <vt:variant>
        <vt:lpwstr>_Toc53740758</vt:lpwstr>
      </vt:variant>
      <vt:variant>
        <vt:i4>1048631</vt:i4>
      </vt:variant>
      <vt:variant>
        <vt:i4>777</vt:i4>
      </vt:variant>
      <vt:variant>
        <vt:i4>0</vt:i4>
      </vt:variant>
      <vt:variant>
        <vt:i4>5</vt:i4>
      </vt:variant>
      <vt:variant>
        <vt:lpwstr/>
      </vt:variant>
      <vt:variant>
        <vt:lpwstr>_Toc53740757</vt:lpwstr>
      </vt:variant>
      <vt:variant>
        <vt:i4>1114167</vt:i4>
      </vt:variant>
      <vt:variant>
        <vt:i4>774</vt:i4>
      </vt:variant>
      <vt:variant>
        <vt:i4>0</vt:i4>
      </vt:variant>
      <vt:variant>
        <vt:i4>5</vt:i4>
      </vt:variant>
      <vt:variant>
        <vt:lpwstr/>
      </vt:variant>
      <vt:variant>
        <vt:lpwstr>_Toc53740756</vt:lpwstr>
      </vt:variant>
      <vt:variant>
        <vt:i4>1179703</vt:i4>
      </vt:variant>
      <vt:variant>
        <vt:i4>771</vt:i4>
      </vt:variant>
      <vt:variant>
        <vt:i4>0</vt:i4>
      </vt:variant>
      <vt:variant>
        <vt:i4>5</vt:i4>
      </vt:variant>
      <vt:variant>
        <vt:lpwstr/>
      </vt:variant>
      <vt:variant>
        <vt:lpwstr>_Toc53740755</vt:lpwstr>
      </vt:variant>
      <vt:variant>
        <vt:i4>1245239</vt:i4>
      </vt:variant>
      <vt:variant>
        <vt:i4>768</vt:i4>
      </vt:variant>
      <vt:variant>
        <vt:i4>0</vt:i4>
      </vt:variant>
      <vt:variant>
        <vt:i4>5</vt:i4>
      </vt:variant>
      <vt:variant>
        <vt:lpwstr/>
      </vt:variant>
      <vt:variant>
        <vt:lpwstr>_Toc53740754</vt:lpwstr>
      </vt:variant>
      <vt:variant>
        <vt:i4>5308470</vt:i4>
      </vt:variant>
      <vt:variant>
        <vt:i4>15</vt:i4>
      </vt:variant>
      <vt:variant>
        <vt:i4>0</vt:i4>
      </vt:variant>
      <vt:variant>
        <vt:i4>5</vt:i4>
      </vt:variant>
      <vt:variant>
        <vt:lpwstr>mailto:stephen.grant@ericsson.com</vt:lpwstr>
      </vt:variant>
      <vt:variant>
        <vt:lpwstr/>
      </vt:variant>
      <vt:variant>
        <vt:i4>1572977</vt:i4>
      </vt:variant>
      <vt:variant>
        <vt:i4>9</vt:i4>
      </vt:variant>
      <vt:variant>
        <vt:i4>0</vt:i4>
      </vt:variant>
      <vt:variant>
        <vt:i4>5</vt:i4>
      </vt:variant>
      <vt:variant>
        <vt:lpwstr>mailto:yuhang.liu@ericsson.com</vt:lpwstr>
      </vt:variant>
      <vt:variant>
        <vt:lpwstr/>
      </vt:variant>
      <vt:variant>
        <vt:i4>1572977</vt:i4>
      </vt:variant>
      <vt:variant>
        <vt:i4>6</vt:i4>
      </vt:variant>
      <vt:variant>
        <vt:i4>0</vt:i4>
      </vt:variant>
      <vt:variant>
        <vt:i4>5</vt:i4>
      </vt:variant>
      <vt:variant>
        <vt:lpwstr>mailto:yuhang.liu@ericsson.com</vt:lpwstr>
      </vt:variant>
      <vt:variant>
        <vt:lpwstr/>
      </vt:variant>
      <vt:variant>
        <vt:i4>1572977</vt:i4>
      </vt:variant>
      <vt:variant>
        <vt:i4>3</vt:i4>
      </vt:variant>
      <vt:variant>
        <vt:i4>0</vt:i4>
      </vt:variant>
      <vt:variant>
        <vt:i4>5</vt:i4>
      </vt:variant>
      <vt:variant>
        <vt:lpwstr>mailto:yuhang.liu@ericsson.com</vt:lpwstr>
      </vt:variant>
      <vt:variant>
        <vt:lpwstr/>
      </vt:variant>
      <vt:variant>
        <vt:i4>5308470</vt:i4>
      </vt:variant>
      <vt:variant>
        <vt:i4>0</vt:i4>
      </vt:variant>
      <vt:variant>
        <vt:i4>0</vt:i4>
      </vt:variant>
      <vt:variant>
        <vt:i4>5</vt:i4>
      </vt:variant>
      <vt:variant>
        <vt:lpwstr>mailto:stephen.grant@ericsson.com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eafsmeh</dc:creator>
  <cp:keywords/>
  <dc:description/>
  <cp:lastModifiedBy>Stephen Grant</cp:lastModifiedBy>
  <cp:revision>115</cp:revision>
  <dcterms:created xsi:type="dcterms:W3CDTF">2020-10-14T00:01:00Z</dcterms:created>
  <dcterms:modified xsi:type="dcterms:W3CDTF">2020-10-17T04:31:00Z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y fmtid="{D5CDD505-2E9C-101B-9397-08002B2CF9AE}" pid="3" name="TaxKeyword">
    <vt:lpwstr/>
  </property>
  <property fmtid="{D5CDD505-2E9C-101B-9397-08002B2CF9AE}" pid="4" name="EriCOLLCategory">
    <vt:lpwstr/>
  </property>
  <property fmtid="{D5CDD505-2E9C-101B-9397-08002B2CF9AE}" pid="5" name="EriCOLLProjectsTaxHTField0">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Customer">
    <vt:lpwstr/>
  </property>
  <property fmtid="{D5CDD505-2E9C-101B-9397-08002B2CF9AE}" pid="11" name="EriCOLLOrganizationUnitTaxHTField0">
    <vt:lpwstr/>
  </property>
  <property fmtid="{D5CDD505-2E9C-101B-9397-08002B2CF9AE}" pid="12" name="EriCOLLProducts">
    <vt:lpwstr/>
  </property>
  <property fmtid="{D5CDD505-2E9C-101B-9397-08002B2CF9AE}" pid="13" name="EriCOLLCategoryTaxHTField0">
    <vt:lpwstr/>
  </property>
  <property fmtid="{D5CDD505-2E9C-101B-9397-08002B2CF9AE}" pid="14" name="EriCOLLCompetenceTaxHTField0">
    <vt:lpwstr/>
  </property>
  <property fmtid="{D5CDD505-2E9C-101B-9397-08002B2CF9AE}" pid="15" name="EriCOLLCountryTaxHTField0">
    <vt:lpwstr/>
  </property>
  <property fmtid="{D5CDD505-2E9C-101B-9397-08002B2CF9AE}" pid="16" name="EriCOLLCustomerTaxHTField0">
    <vt:lpwstr/>
  </property>
  <property fmtid="{D5CDD505-2E9C-101B-9397-08002B2CF9AE}" pid="17" name="EriCOLLProductsTaxHTField0">
    <vt:lpwstr/>
  </property>
  <property fmtid="{D5CDD505-2E9C-101B-9397-08002B2CF9AE}" pid="18" name="EriCOLLProcessTaxHTField0">
    <vt:lpwstr/>
  </property>
  <property fmtid="{D5CDD505-2E9C-101B-9397-08002B2CF9AE}" pid="19" name="EriCOLLProjects">
    <vt:lpwstr/>
  </property>
  <property fmtid="{D5CDD505-2E9C-101B-9397-08002B2CF9AE}" pid="20" name="_dlc_DocIdItemGuid">
    <vt:lpwstr>4c2be7b6-30c0-4b59-a968-4d4ead8b9f52</vt:lpwstr>
  </property>
  <property fmtid="{D5CDD505-2E9C-101B-9397-08002B2CF9AE}" pid="21" name="Order">
    <vt:r8>42364700</vt:r8>
  </property>
  <property fmtid="{D5CDD505-2E9C-101B-9397-08002B2CF9AE}" pid="22" name="xd_Signature">
    <vt:bool>false</vt:bool>
  </property>
  <property fmtid="{D5CDD505-2E9C-101B-9397-08002B2CF9AE}" pid="23" name="xd_ProgID">
    <vt:lpwstr/>
  </property>
  <property fmtid="{D5CDD505-2E9C-101B-9397-08002B2CF9AE}" pid="24" name="_dlc_DocId">
    <vt:lpwstr>5NUHHDQN7SK2-1476151046-423647</vt:lpwstr>
  </property>
  <property fmtid="{D5CDD505-2E9C-101B-9397-08002B2CF9AE}" pid="25" name="ComplianceAssetId">
    <vt:lpwstr/>
  </property>
  <property fmtid="{D5CDD505-2E9C-101B-9397-08002B2CF9AE}" pid="26" name="TemplateUrl">
    <vt:lpwstr/>
  </property>
  <property fmtid="{D5CDD505-2E9C-101B-9397-08002B2CF9AE}" pid="27" name="_dlc_DocIdUrl">
    <vt:lpwstr>https://ericsson.sharepoint.com/sites/star/_layouts/15/DocIdRedir.aspx?ID=5NUHHDQN7SK2-1476151046-423647, 5NUHHDQN7SK2-1476151046-423647</vt:lpwstr>
  </property>
  <property fmtid="{D5CDD505-2E9C-101B-9397-08002B2CF9AE}" pid="28" name="_SourceUrl">
    <vt:lpwstr/>
  </property>
  <property fmtid="{D5CDD505-2E9C-101B-9397-08002B2CF9AE}" pid="29" name="_SharedFileIndex">
    <vt:lpwstr/>
  </property>
</Properties>
</file>